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1572E" w14:textId="77777777" w:rsidR="00197212" w:rsidRPr="00A124C2" w:rsidRDefault="007A41A7" w:rsidP="007A41A7">
      <w:pPr>
        <w:rPr>
          <w:b/>
          <w:bCs/>
        </w:rPr>
      </w:pPr>
      <w:r w:rsidRPr="00A124C2">
        <w:rPr>
          <w:b/>
          <w:bCs/>
        </w:rPr>
        <w:t>SVEUČILIŠT</w:t>
      </w:r>
      <w:r w:rsidR="00197212" w:rsidRPr="00A124C2">
        <w:rPr>
          <w:b/>
          <w:bCs/>
        </w:rPr>
        <w:t>E U ZAGREBU</w:t>
      </w:r>
    </w:p>
    <w:p w14:paraId="4CCA6E14" w14:textId="77777777" w:rsidR="00B55A24" w:rsidRPr="00A124C2" w:rsidRDefault="00197212" w:rsidP="007A41A7">
      <w:pPr>
        <w:rPr>
          <w:b/>
          <w:bCs/>
        </w:rPr>
      </w:pPr>
      <w:r w:rsidRPr="00A124C2">
        <w:rPr>
          <w:b/>
          <w:bCs/>
        </w:rPr>
        <w:t>STOMATOLOŠKI</w:t>
      </w:r>
      <w:r w:rsidR="00A81F0E" w:rsidRPr="00A124C2">
        <w:rPr>
          <w:b/>
          <w:bCs/>
        </w:rPr>
        <w:t xml:space="preserve"> FAKULTET</w:t>
      </w:r>
    </w:p>
    <w:p w14:paraId="0CEDE48A" w14:textId="77777777" w:rsidR="00A81F0E" w:rsidRPr="00A124C2" w:rsidRDefault="00197212" w:rsidP="007A41A7">
      <w:pPr>
        <w:rPr>
          <w:b/>
          <w:bCs/>
        </w:rPr>
      </w:pPr>
      <w:r w:rsidRPr="00A124C2">
        <w:rPr>
          <w:b/>
          <w:bCs/>
        </w:rPr>
        <w:t>GUNDULIĆEVA 5</w:t>
      </w:r>
    </w:p>
    <w:p w14:paraId="1D652B7F" w14:textId="77777777" w:rsidR="00A81F0E" w:rsidRPr="00A124C2" w:rsidRDefault="00A81F0E" w:rsidP="007A41A7">
      <w:pPr>
        <w:rPr>
          <w:b/>
          <w:bCs/>
        </w:rPr>
      </w:pPr>
      <w:r w:rsidRPr="00A124C2">
        <w:rPr>
          <w:b/>
          <w:bCs/>
        </w:rPr>
        <w:t>10000 ZAGREB</w:t>
      </w:r>
    </w:p>
    <w:p w14:paraId="4D4264CD" w14:textId="77777777" w:rsidR="00A81F0E" w:rsidRPr="00A124C2" w:rsidRDefault="00A81F0E" w:rsidP="007A41A7">
      <w:pPr>
        <w:rPr>
          <w:b/>
          <w:bCs/>
        </w:rPr>
      </w:pPr>
      <w:r w:rsidRPr="00A124C2">
        <w:rPr>
          <w:b/>
          <w:bCs/>
        </w:rPr>
        <w:t xml:space="preserve">OIB: </w:t>
      </w:r>
      <w:r w:rsidR="00197212" w:rsidRPr="00A124C2">
        <w:rPr>
          <w:b/>
          <w:bCs/>
        </w:rPr>
        <w:t>70221464726</w:t>
      </w:r>
    </w:p>
    <w:p w14:paraId="51931C38" w14:textId="4B75E7E2" w:rsidR="00B55A24" w:rsidRPr="00A124C2" w:rsidRDefault="007A41A7" w:rsidP="007A1864">
      <w:pPr>
        <w:rPr>
          <w:b/>
          <w:bCs/>
        </w:rPr>
      </w:pPr>
      <w:r w:rsidRPr="00A124C2">
        <w:rPr>
          <w:b/>
          <w:bCs/>
        </w:rPr>
        <w:t>RKP: 018</w:t>
      </w:r>
      <w:r w:rsidR="007A1864" w:rsidRPr="00A124C2">
        <w:rPr>
          <w:b/>
          <w:bCs/>
        </w:rPr>
        <w:t>70</w:t>
      </w:r>
    </w:p>
    <w:p w14:paraId="23B0EFD2" w14:textId="09F5A3EE" w:rsidR="00B55A24" w:rsidRPr="00A124C2" w:rsidRDefault="00B55A24" w:rsidP="00A81F0E">
      <w:pPr>
        <w:rPr>
          <w:b/>
          <w:bCs/>
        </w:rPr>
      </w:pPr>
    </w:p>
    <w:p w14:paraId="55ED0535" w14:textId="77777777" w:rsidR="00B55A24" w:rsidRPr="00A124C2" w:rsidRDefault="00B55A24" w:rsidP="00B55A24">
      <w:pPr>
        <w:jc w:val="center"/>
        <w:rPr>
          <w:b/>
          <w:bCs/>
        </w:rPr>
      </w:pPr>
    </w:p>
    <w:p w14:paraId="00EDABC2" w14:textId="77777777" w:rsidR="006A359C" w:rsidRPr="00A124C2" w:rsidRDefault="006D72EE" w:rsidP="00B55A24">
      <w:pPr>
        <w:jc w:val="center"/>
        <w:rPr>
          <w:b/>
          <w:bCs/>
        </w:rPr>
      </w:pPr>
      <w:r w:rsidRPr="00A124C2">
        <w:rPr>
          <w:b/>
          <w:bCs/>
        </w:rPr>
        <w:t>OBRAZLOŽENJE POSEBNOG</w:t>
      </w:r>
      <w:r w:rsidR="006A359C" w:rsidRPr="00A124C2">
        <w:rPr>
          <w:b/>
          <w:bCs/>
        </w:rPr>
        <w:t xml:space="preserve"> DIJELA</w:t>
      </w:r>
      <w:r w:rsidR="00081899" w:rsidRPr="00A124C2">
        <w:rPr>
          <w:b/>
          <w:bCs/>
        </w:rPr>
        <w:t xml:space="preserve"> </w:t>
      </w:r>
      <w:r w:rsidR="00373A41" w:rsidRPr="00A124C2">
        <w:rPr>
          <w:b/>
          <w:bCs/>
        </w:rPr>
        <w:t xml:space="preserve">USKLAĐENOG </w:t>
      </w:r>
      <w:r w:rsidR="00B55A24" w:rsidRPr="00A124C2">
        <w:rPr>
          <w:b/>
          <w:bCs/>
        </w:rPr>
        <w:t xml:space="preserve">FINANCIJSKOG PLANA ZA </w:t>
      </w:r>
    </w:p>
    <w:p w14:paraId="451D27A2" w14:textId="3FC5A87C" w:rsidR="00E66CA6" w:rsidRPr="00A124C2" w:rsidRDefault="00B55A24" w:rsidP="007A1864">
      <w:pPr>
        <w:jc w:val="center"/>
        <w:rPr>
          <w:b/>
          <w:bCs/>
        </w:rPr>
      </w:pPr>
      <w:r w:rsidRPr="00A124C2">
        <w:rPr>
          <w:b/>
          <w:bCs/>
        </w:rPr>
        <w:t>202</w:t>
      </w:r>
      <w:r w:rsidR="00883B2F" w:rsidRPr="00A124C2">
        <w:rPr>
          <w:b/>
          <w:bCs/>
        </w:rPr>
        <w:t>6</w:t>
      </w:r>
      <w:r w:rsidR="00D75185" w:rsidRPr="00A124C2">
        <w:rPr>
          <w:b/>
          <w:bCs/>
        </w:rPr>
        <w:t>.-202</w:t>
      </w:r>
      <w:r w:rsidR="00883B2F" w:rsidRPr="00A124C2">
        <w:rPr>
          <w:b/>
          <w:bCs/>
        </w:rPr>
        <w:t>8</w:t>
      </w:r>
      <w:r w:rsidRPr="00A124C2">
        <w:rPr>
          <w:b/>
          <w:bCs/>
        </w:rPr>
        <w:t>. GODINU</w:t>
      </w:r>
    </w:p>
    <w:p w14:paraId="5A5AF645" w14:textId="5400BA67" w:rsidR="007A41A7" w:rsidRPr="00A124C2" w:rsidRDefault="007A41A7" w:rsidP="00C11138">
      <w:pPr>
        <w:spacing w:after="160"/>
        <w:rPr>
          <w:b/>
          <w:bCs/>
        </w:rPr>
      </w:pPr>
    </w:p>
    <w:p w14:paraId="06AE2CFE" w14:textId="51CC800F" w:rsidR="0050322E" w:rsidRPr="00A124C2" w:rsidRDefault="0050322E" w:rsidP="00C11138">
      <w:pPr>
        <w:spacing w:after="160"/>
        <w:jc w:val="both"/>
        <w:rPr>
          <w:b/>
          <w:bCs/>
        </w:rPr>
      </w:pPr>
      <w:r w:rsidRPr="00A124C2">
        <w:rPr>
          <w:b/>
          <w:bCs/>
        </w:rPr>
        <w:t>UVOD – SAŽETAK DJELOKRUGA RADA</w:t>
      </w:r>
    </w:p>
    <w:p w14:paraId="6300BA0E" w14:textId="4EDA437B" w:rsidR="00FF171E" w:rsidRPr="00A124C2" w:rsidRDefault="0050322E" w:rsidP="00C11138">
      <w:pPr>
        <w:spacing w:after="160"/>
        <w:jc w:val="both"/>
        <w:rPr>
          <w:bCs/>
        </w:rPr>
      </w:pPr>
      <w:r w:rsidRPr="00A124C2">
        <w:rPr>
          <w:bCs/>
        </w:rPr>
        <w:t xml:space="preserve">Stomatološki fakultet je javno visoko učilište u sastavu Sveučilišta u Zagrebu, koji ustrojava i izvodi sveučilišne studije, znanstveni i </w:t>
      </w:r>
      <w:r w:rsidR="007E6EED" w:rsidRPr="00A124C2">
        <w:rPr>
          <w:bCs/>
        </w:rPr>
        <w:t>visoko</w:t>
      </w:r>
      <w:r w:rsidRPr="00A124C2">
        <w:rPr>
          <w:bCs/>
        </w:rPr>
        <w:t>stručni rad</w:t>
      </w:r>
      <w:r w:rsidR="007E6EED" w:rsidRPr="00A124C2">
        <w:rPr>
          <w:bCs/>
        </w:rPr>
        <w:t xml:space="preserve"> ponajprije</w:t>
      </w:r>
      <w:r w:rsidRPr="00A124C2">
        <w:rPr>
          <w:bCs/>
        </w:rPr>
        <w:t xml:space="preserve"> u </w:t>
      </w:r>
      <w:r w:rsidR="007E6EED" w:rsidRPr="00A124C2">
        <w:rPr>
          <w:bCs/>
        </w:rPr>
        <w:t>polju stomatologije, te u drugim poljima znanstvenog i obrazovno-znanstvenog područja Biomedicine i zdravstva</w:t>
      </w:r>
      <w:r w:rsidRPr="00A124C2">
        <w:rPr>
          <w:bCs/>
        </w:rPr>
        <w:t xml:space="preserve">. Fakultet je pravna osoba sa statusom javne ustanove koji svoju djelatnost ostvaruje obrazovanjem stručnjaka kroz </w:t>
      </w:r>
      <w:r w:rsidR="00272EE4" w:rsidRPr="00A124C2">
        <w:rPr>
          <w:bCs/>
        </w:rPr>
        <w:t>sveučilišni integrirani prije</w:t>
      </w:r>
      <w:r w:rsidRPr="00A124C2">
        <w:rPr>
          <w:bCs/>
        </w:rPr>
        <w:t xml:space="preserve">diplomski i diplomski studij Dentalna medicina, </w:t>
      </w:r>
      <w:r w:rsidR="00272EE4" w:rsidRPr="00A124C2">
        <w:rPr>
          <w:bCs/>
        </w:rPr>
        <w:t>sveučilišni integrirani prijediplomski i diplomski s</w:t>
      </w:r>
      <w:r w:rsidRPr="00A124C2">
        <w:rPr>
          <w:bCs/>
        </w:rPr>
        <w:t>tudij Dentalna medicina na engleskom jeziku, doktorski studij, specijalističke studije, te kroz programe cjeloživotnog učenja u području rada doktora dentalne medicine sa svim potrebnim znanjima iz bazičnih biomedicinskih znanosti, opće medicine i dentalne medicine</w:t>
      </w:r>
      <w:r w:rsidR="00FF171E" w:rsidRPr="00A124C2">
        <w:rPr>
          <w:bCs/>
        </w:rPr>
        <w:t>.</w:t>
      </w:r>
    </w:p>
    <w:p w14:paraId="2DEE8441" w14:textId="77777777" w:rsidR="0050322E" w:rsidRPr="00A124C2" w:rsidRDefault="0050322E" w:rsidP="00E66CA6">
      <w:pPr>
        <w:spacing w:after="160" w:line="276" w:lineRule="auto"/>
        <w:jc w:val="both"/>
        <w:rPr>
          <w:bCs/>
        </w:rPr>
      </w:pPr>
      <w:r w:rsidRPr="00A124C2">
        <w:rPr>
          <w:bCs/>
        </w:rPr>
        <w:t>Stomatološki fakultet nastoji postići visoku kvalitetu obrazovanja educirajući suvremenog doktora dentalne medicine, kompetentnog pružati dentalnu zdravstvenu skrb za čitavu populaciju. Stoga, Stomatološki fakultet svojim djelovanjem ostvaruje široko društveno značenje te je izravno zainteresiran za opću društvenu dobrobit uvažavajući sve sadašnje, ali i buduće potrebe društva. Osim svoje primarne zadaće, edukacije studenata</w:t>
      </w:r>
      <w:r w:rsidR="00CF3E2E" w:rsidRPr="00A124C2">
        <w:rPr>
          <w:bCs/>
        </w:rPr>
        <w:t xml:space="preserve"> kroz integrirani studij dentalne medicine</w:t>
      </w:r>
      <w:r w:rsidRPr="00A124C2">
        <w:rPr>
          <w:bCs/>
        </w:rPr>
        <w:t xml:space="preserve"> i doktora dentalne medicine kroz programe cjeloživotnog učenja, djelatnici Fakulteta sudjeluju i u radu ekspertnih tijela Ministarstva zdravlja te i na taj način sudjeluju u razvoju i provedbi strategije oralnog zdravlja u Republici Hrvatskoj. Jedan od primjera društvene angažiranosti je i terenski rad studenata Stomatološkog fakulteta koji uključuje posjete školama i vrtićima grada Zagreba kako bi djecu educirali i motivirali za provođenje adekvatne oralne higijene, što pak doprinosi ukupnom provođenju strategije oralnog zdravlja Republike Hrvatske. </w:t>
      </w:r>
    </w:p>
    <w:p w14:paraId="32546AEF" w14:textId="77777777" w:rsidR="0050322E" w:rsidRPr="00A124C2" w:rsidRDefault="0050322E" w:rsidP="00E66CA6">
      <w:pPr>
        <w:spacing w:after="160" w:line="276" w:lineRule="auto"/>
        <w:jc w:val="both"/>
        <w:rPr>
          <w:bCs/>
        </w:rPr>
      </w:pPr>
      <w:r w:rsidRPr="00A124C2">
        <w:rPr>
          <w:bCs/>
        </w:rPr>
        <w:t>Značajna djelatnost Fakulteta je i znanstveni rad u okviru različitih znanstvenih projekata, što također značajno utječe na podizanje kvalitete diplomske, a posebice poslijediplomske nastave. Važno je pripomenuti da se u okviru znanstvenih projekata često financiraju i mladi doktori dentalne medicine (</w:t>
      </w:r>
      <w:r w:rsidR="00CF3E2E" w:rsidRPr="00A124C2">
        <w:rPr>
          <w:bCs/>
        </w:rPr>
        <w:t xml:space="preserve">ekvivalent </w:t>
      </w:r>
      <w:r w:rsidRPr="00A124C2">
        <w:rPr>
          <w:bCs/>
        </w:rPr>
        <w:t>nekadašnji</w:t>
      </w:r>
      <w:r w:rsidR="00CF3E2E" w:rsidRPr="00A124C2">
        <w:rPr>
          <w:bCs/>
        </w:rPr>
        <w:t>h</w:t>
      </w:r>
      <w:r w:rsidRPr="00A124C2">
        <w:rPr>
          <w:bCs/>
        </w:rPr>
        <w:t xml:space="preserve"> znanstveni</w:t>
      </w:r>
      <w:r w:rsidR="00CF3E2E" w:rsidRPr="00A124C2">
        <w:rPr>
          <w:bCs/>
        </w:rPr>
        <w:t>h novaka</w:t>
      </w:r>
      <w:r w:rsidRPr="00A124C2">
        <w:rPr>
          <w:bCs/>
        </w:rPr>
        <w:t xml:space="preserve">) čija je prvenstvena zadaća bavljenje znanstvenim radom i izrada </w:t>
      </w:r>
      <w:r w:rsidR="00CF3E2E" w:rsidRPr="00A124C2">
        <w:rPr>
          <w:bCs/>
        </w:rPr>
        <w:t xml:space="preserve">njihove </w:t>
      </w:r>
      <w:r w:rsidRPr="00A124C2">
        <w:rPr>
          <w:bCs/>
        </w:rPr>
        <w:t>disertacije, ali pritom pripomažu i u nastavnom procesu, poglavito vježbama, te se na taj način odgaja i osigurava budući nastavnički kadar.</w:t>
      </w:r>
    </w:p>
    <w:p w14:paraId="0D052A80" w14:textId="4DAAABDA" w:rsidR="008A4752" w:rsidRDefault="0050322E" w:rsidP="00C11138">
      <w:pPr>
        <w:spacing w:after="160"/>
        <w:jc w:val="both"/>
        <w:rPr>
          <w:bCs/>
        </w:rPr>
      </w:pPr>
      <w:r w:rsidRPr="00A124C2">
        <w:rPr>
          <w:bCs/>
        </w:rPr>
        <w:t xml:space="preserve">Djelatnost Fakulteta se pretežno obavlja u Zavodima - ustrojstvenim jedinicama koje nemaju status podružnica u smislu članka 9. Zakona o ustanovama. Zavod je ustrojstvena jedinica Fakulteta koja obavlja djelatnost pretežno u jednoj grani, odnosno polju. Ustrojstvene jedinice Fakulteta su: </w:t>
      </w:r>
      <w:r w:rsidR="0090225E" w:rsidRPr="00A124C2">
        <w:rPr>
          <w:bCs/>
        </w:rPr>
        <w:t xml:space="preserve"> unutrašnje ustrojstvene jedinice: zavodi, katedre i laboratoriji, vanjske ustrojstvene jedinice -nastavne baze: klinike i klinički zavodi, stručno-administrativne ustrojstvene jedinice: Tajništvo i Ured dekana i središnja stomatološka knjižnica.</w:t>
      </w:r>
    </w:p>
    <w:p w14:paraId="278F9A4C" w14:textId="77777777" w:rsidR="00C11138" w:rsidRPr="00A124C2" w:rsidRDefault="00C11138" w:rsidP="00C11138">
      <w:pPr>
        <w:spacing w:after="160"/>
        <w:jc w:val="both"/>
        <w:rPr>
          <w:bCs/>
        </w:rPr>
      </w:pPr>
    </w:p>
    <w:p w14:paraId="33B06C8F" w14:textId="6A4898B0" w:rsidR="000B0038" w:rsidRPr="00A124C2" w:rsidRDefault="000B0038" w:rsidP="00C11138">
      <w:pPr>
        <w:spacing w:after="160"/>
        <w:jc w:val="both"/>
        <w:rPr>
          <w:bCs/>
        </w:rPr>
      </w:pPr>
      <w:r w:rsidRPr="00A124C2">
        <w:rPr>
          <w:b/>
          <w:bCs/>
        </w:rPr>
        <w:lastRenderedPageBreak/>
        <w:t>A</w:t>
      </w:r>
      <w:r w:rsidR="005A1FAE">
        <w:rPr>
          <w:b/>
          <w:bCs/>
        </w:rPr>
        <w:t>679134</w:t>
      </w:r>
      <w:r w:rsidRPr="00A124C2">
        <w:rPr>
          <w:b/>
          <w:bCs/>
        </w:rPr>
        <w:t xml:space="preserve"> </w:t>
      </w:r>
      <w:r w:rsidR="00143804" w:rsidRPr="00A124C2">
        <w:rPr>
          <w:b/>
          <w:bCs/>
        </w:rPr>
        <w:t>Programsko financiranje javnih visokih učilišta</w:t>
      </w:r>
      <w:r w:rsidR="005A1FAE">
        <w:rPr>
          <w:b/>
          <w:bCs/>
        </w:rPr>
        <w:t xml:space="preserve"> 2025. – 2029.</w:t>
      </w:r>
    </w:p>
    <w:p w14:paraId="12418823" w14:textId="49F173FF" w:rsidR="000B0038" w:rsidRDefault="000B0038" w:rsidP="00C11138">
      <w:pPr>
        <w:jc w:val="both"/>
        <w:rPr>
          <w:bCs/>
        </w:rPr>
      </w:pPr>
      <w:r w:rsidRPr="00A124C2">
        <w:rPr>
          <w:bCs/>
        </w:rPr>
        <w:t>Zakonske i druge pravne osnove</w:t>
      </w:r>
      <w:r w:rsidR="00F50E74" w:rsidRPr="00A124C2">
        <w:rPr>
          <w:bCs/>
        </w:rPr>
        <w:t>:</w:t>
      </w:r>
    </w:p>
    <w:p w14:paraId="4EFBC904" w14:textId="2745CCBF" w:rsidR="00891A0F" w:rsidRDefault="00891A0F" w:rsidP="00C11138">
      <w:pPr>
        <w:jc w:val="both"/>
        <w:rPr>
          <w:bCs/>
        </w:rPr>
      </w:pPr>
    </w:p>
    <w:p w14:paraId="21F2B32F" w14:textId="07BBA3F4" w:rsidR="00891A0F" w:rsidRDefault="00891A0F" w:rsidP="00C11138">
      <w:pPr>
        <w:jc w:val="both"/>
        <w:rPr>
          <w:bCs/>
        </w:rPr>
      </w:pPr>
      <w:r w:rsidRPr="00891A0F">
        <w:rPr>
          <w:rFonts w:eastAsiaTheme="minorHAnsi"/>
          <w:bCs/>
        </w:rPr>
        <w:t>Zakon o ustanovama</w:t>
      </w:r>
      <w:r>
        <w:rPr>
          <w:rFonts w:eastAsiaTheme="minorHAnsi"/>
          <w:bCs/>
        </w:rPr>
        <w:t xml:space="preserve">, </w:t>
      </w:r>
      <w:r w:rsidRPr="00891A0F">
        <w:rPr>
          <w:rFonts w:eastAsiaTheme="minorHAnsi"/>
          <w:bCs/>
        </w:rPr>
        <w:t>Zakon o znanstvenoj djelatnosti i visokom obrazovanju</w:t>
      </w:r>
      <w:r>
        <w:rPr>
          <w:rFonts w:eastAsiaTheme="minorHAnsi"/>
          <w:bCs/>
        </w:rPr>
        <w:t xml:space="preserve">, Zakon o proračunu, Zakon o javnoj nabavi, Zakon o porezu na dodanu vrijednost, </w:t>
      </w:r>
      <w:r w:rsidRPr="00A124C2">
        <w:rPr>
          <w:lang w:eastAsia="hr-HR"/>
        </w:rPr>
        <w:t>Pravilnik o planiranju u sustavu proračuna</w:t>
      </w:r>
      <w:r>
        <w:rPr>
          <w:lang w:eastAsia="hr-HR"/>
        </w:rPr>
        <w:t xml:space="preserve">, </w:t>
      </w:r>
      <w:r w:rsidRPr="00A124C2">
        <w:rPr>
          <w:lang w:eastAsia="hr-HR"/>
        </w:rPr>
        <w:t xml:space="preserve">Pravilnik o proračunskom </w:t>
      </w:r>
      <w:r>
        <w:rPr>
          <w:lang w:eastAsia="hr-HR"/>
        </w:rPr>
        <w:t xml:space="preserve">računovodstvu i Računskom planu, </w:t>
      </w:r>
      <w:r w:rsidRPr="00A124C2">
        <w:rPr>
          <w:lang w:eastAsia="hr-HR"/>
        </w:rPr>
        <w:t>Pravilnik</w:t>
      </w:r>
      <w:r>
        <w:rPr>
          <w:lang w:eastAsia="hr-HR"/>
        </w:rPr>
        <w:t xml:space="preserve"> o proračunskim klasifikacijama, </w:t>
      </w:r>
      <w:r w:rsidRPr="00A124C2">
        <w:rPr>
          <w:lang w:eastAsia="hr-HR"/>
        </w:rPr>
        <w:t>Pravilnik o korištenju sredstava Europske un</w:t>
      </w:r>
      <w:r>
        <w:rPr>
          <w:lang w:eastAsia="hr-HR"/>
        </w:rPr>
        <w:t xml:space="preserve">ije, </w:t>
      </w:r>
      <w:r w:rsidRPr="00891A0F">
        <w:rPr>
          <w:rFonts w:eastAsiaTheme="minorHAnsi"/>
          <w:bCs/>
        </w:rPr>
        <w:t>Uredba o nazivima radnih mjesta, uvjetima za raspored i koeficijentima za obračun plaće u javnim službama</w:t>
      </w:r>
      <w:r>
        <w:rPr>
          <w:rFonts w:eastAsiaTheme="minorHAnsi"/>
          <w:bCs/>
        </w:rPr>
        <w:t xml:space="preserve">, Pravilnik o financijskom izvještavanju u proračunskom računovodstvu, </w:t>
      </w:r>
      <w:r w:rsidRPr="00891A0F">
        <w:rPr>
          <w:rFonts w:eastAsiaTheme="minorHAnsi"/>
          <w:bCs/>
        </w:rPr>
        <w:t>Temeljni kolektivni ugovor za službenike i namještenike u javnim službama</w:t>
      </w:r>
      <w:r>
        <w:rPr>
          <w:rFonts w:eastAsiaTheme="minorHAnsi"/>
          <w:bCs/>
        </w:rPr>
        <w:t xml:space="preserve">, </w:t>
      </w:r>
      <w:r w:rsidRPr="00891A0F">
        <w:rPr>
          <w:rFonts w:eastAsiaTheme="minorHAnsi"/>
          <w:bCs/>
        </w:rPr>
        <w:t>Kolektivni ugovor za znanost i visoko obrazovanje</w:t>
      </w:r>
      <w:r>
        <w:rPr>
          <w:rFonts w:eastAsiaTheme="minorHAnsi"/>
          <w:bCs/>
        </w:rPr>
        <w:t xml:space="preserve">, te drugi zakonski propisi koji uređuju područje i djelokrug rada Stomatološkog fakulteta, </w:t>
      </w:r>
      <w:r w:rsidR="000B0038" w:rsidRPr="00A124C2">
        <w:rPr>
          <w:bCs/>
        </w:rPr>
        <w:t>Upute za izradu financijskog plana razdjel</w:t>
      </w:r>
      <w:r w:rsidR="004236AF" w:rsidRPr="00A124C2">
        <w:rPr>
          <w:bCs/>
        </w:rPr>
        <w:t xml:space="preserve">a 080 – Ministarstvo znanosti, </w:t>
      </w:r>
      <w:r w:rsidR="000B0038" w:rsidRPr="00A124C2">
        <w:rPr>
          <w:bCs/>
        </w:rPr>
        <w:t>obrazovanja</w:t>
      </w:r>
      <w:r w:rsidR="004236AF" w:rsidRPr="00A124C2">
        <w:rPr>
          <w:bCs/>
        </w:rPr>
        <w:t xml:space="preserve"> i mladih </w:t>
      </w:r>
      <w:r w:rsidR="000B0038" w:rsidRPr="00A124C2">
        <w:rPr>
          <w:bCs/>
        </w:rPr>
        <w:t>za razdoblje</w:t>
      </w:r>
      <w:r w:rsidR="000F3D6C" w:rsidRPr="00A124C2">
        <w:rPr>
          <w:bCs/>
        </w:rPr>
        <w:t xml:space="preserve"> 2026. – 2028</w:t>
      </w:r>
      <w:r w:rsidR="000B0038" w:rsidRPr="00A124C2">
        <w:rPr>
          <w:bCs/>
        </w:rPr>
        <w:t>.</w:t>
      </w:r>
      <w:r w:rsidR="00C11138">
        <w:rPr>
          <w:bCs/>
        </w:rPr>
        <w:t>,</w:t>
      </w:r>
      <w:r>
        <w:rPr>
          <w:bCs/>
        </w:rPr>
        <w:t xml:space="preserve"> </w:t>
      </w:r>
      <w:r w:rsidR="000B0038" w:rsidRPr="00A124C2">
        <w:rPr>
          <w:bCs/>
        </w:rPr>
        <w:t>Upute za izradu prijedloga financijskog plana Sveučil</w:t>
      </w:r>
      <w:r w:rsidR="000F3D6C" w:rsidRPr="00A124C2">
        <w:rPr>
          <w:bCs/>
        </w:rPr>
        <w:t xml:space="preserve">išta u </w:t>
      </w:r>
      <w:r w:rsidR="00A124C2">
        <w:rPr>
          <w:bCs/>
        </w:rPr>
        <w:t>Zagrebu za razdoblje 2026. – 2028.</w:t>
      </w:r>
    </w:p>
    <w:p w14:paraId="7DA7D143" w14:textId="77777777" w:rsidR="00F937CA" w:rsidRPr="00A124C2" w:rsidRDefault="00F937CA" w:rsidP="00C11138">
      <w:pPr>
        <w:jc w:val="both"/>
        <w:rPr>
          <w:bCs/>
        </w:rPr>
      </w:pPr>
    </w:p>
    <w:tbl>
      <w:tblPr>
        <w:tblW w:w="9639" w:type="dxa"/>
        <w:tblInd w:w="108" w:type="dxa"/>
        <w:tblLook w:val="04A0" w:firstRow="1" w:lastRow="0" w:firstColumn="1" w:lastColumn="0" w:noHBand="0" w:noVBand="1"/>
      </w:tblPr>
      <w:tblGrid>
        <w:gridCol w:w="1158"/>
        <w:gridCol w:w="1216"/>
        <w:gridCol w:w="1360"/>
        <w:gridCol w:w="1596"/>
        <w:gridCol w:w="1596"/>
        <w:gridCol w:w="1596"/>
        <w:gridCol w:w="1117"/>
      </w:tblGrid>
      <w:tr w:rsidR="000B0038" w:rsidRPr="00A124C2" w14:paraId="7AFE05DF" w14:textId="77777777" w:rsidTr="00B16B32">
        <w:trPr>
          <w:trHeight w:val="735"/>
        </w:trPr>
        <w:tc>
          <w:tcPr>
            <w:tcW w:w="115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51D69A5" w14:textId="77777777" w:rsidR="000B0038" w:rsidRPr="00E92817" w:rsidRDefault="000B0038" w:rsidP="00C11138">
            <w:pPr>
              <w:jc w:val="both"/>
            </w:pPr>
          </w:p>
        </w:tc>
        <w:tc>
          <w:tcPr>
            <w:tcW w:w="1216" w:type="dxa"/>
            <w:tcBorders>
              <w:top w:val="single" w:sz="4" w:space="0" w:color="auto"/>
              <w:left w:val="nil"/>
              <w:bottom w:val="single" w:sz="4" w:space="0" w:color="auto"/>
              <w:right w:val="single" w:sz="4" w:space="0" w:color="auto"/>
            </w:tcBorders>
            <w:shd w:val="clear" w:color="000000" w:fill="D9D9D9"/>
            <w:vAlign w:val="center"/>
            <w:hideMark/>
          </w:tcPr>
          <w:p w14:paraId="146AB20A" w14:textId="36355D88" w:rsidR="000B0038" w:rsidRPr="00E92817" w:rsidRDefault="00D40634" w:rsidP="00C11138">
            <w:pPr>
              <w:jc w:val="both"/>
            </w:pPr>
            <w:r w:rsidRPr="00E92817">
              <w:t>Izvršenje 2024</w:t>
            </w:r>
            <w:r w:rsidR="000B0038" w:rsidRPr="00E92817">
              <w:t>.</w:t>
            </w:r>
          </w:p>
        </w:tc>
        <w:tc>
          <w:tcPr>
            <w:tcW w:w="1360" w:type="dxa"/>
            <w:tcBorders>
              <w:top w:val="single" w:sz="4" w:space="0" w:color="auto"/>
              <w:left w:val="nil"/>
              <w:bottom w:val="single" w:sz="4" w:space="0" w:color="auto"/>
              <w:right w:val="single" w:sz="4" w:space="0" w:color="auto"/>
            </w:tcBorders>
            <w:shd w:val="clear" w:color="000000" w:fill="D9D9D9"/>
            <w:vAlign w:val="center"/>
            <w:hideMark/>
          </w:tcPr>
          <w:p w14:paraId="5C3CEDF7" w14:textId="219ACD81" w:rsidR="000B0038" w:rsidRPr="00777B0C" w:rsidRDefault="00D40634" w:rsidP="00C11138">
            <w:pPr>
              <w:jc w:val="both"/>
            </w:pPr>
            <w:r w:rsidRPr="00777B0C">
              <w:t>Plan 2025</w:t>
            </w:r>
            <w:r w:rsidR="000B0038" w:rsidRPr="00777B0C">
              <w:t>.</w:t>
            </w: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14:paraId="28820FBF" w14:textId="16A94259" w:rsidR="000B0038" w:rsidRPr="00777B0C" w:rsidRDefault="00510879" w:rsidP="00C11138">
            <w:pPr>
              <w:jc w:val="both"/>
            </w:pPr>
            <w:r w:rsidRPr="00777B0C">
              <w:t>Plan 202</w:t>
            </w:r>
            <w:r w:rsidR="00D40634" w:rsidRPr="00777B0C">
              <w:t>6</w:t>
            </w:r>
            <w:r w:rsidR="000B0038" w:rsidRPr="00777B0C">
              <w:t>.</w:t>
            </w: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14:paraId="20A2E542" w14:textId="19992DE2" w:rsidR="000B0038" w:rsidRPr="00777B0C" w:rsidRDefault="00510879" w:rsidP="00C11138">
            <w:pPr>
              <w:jc w:val="both"/>
            </w:pPr>
            <w:r w:rsidRPr="00777B0C">
              <w:t>Plan 202</w:t>
            </w:r>
            <w:r w:rsidR="00D40634" w:rsidRPr="00777B0C">
              <w:t>7</w:t>
            </w:r>
            <w:r w:rsidR="000B0038" w:rsidRPr="00777B0C">
              <w:t>.</w:t>
            </w: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14:paraId="2441EAC5" w14:textId="5C4EF461" w:rsidR="000B0038" w:rsidRPr="00777B0C" w:rsidRDefault="000B0038" w:rsidP="00C11138">
            <w:pPr>
              <w:jc w:val="both"/>
            </w:pPr>
            <w:r w:rsidRPr="00777B0C">
              <w:t>Plan 202</w:t>
            </w:r>
            <w:r w:rsidR="00D40634" w:rsidRPr="00777B0C">
              <w:t>8</w:t>
            </w:r>
            <w:r w:rsidRPr="00777B0C">
              <w:t>.</w:t>
            </w:r>
          </w:p>
        </w:tc>
        <w:tc>
          <w:tcPr>
            <w:tcW w:w="1117" w:type="dxa"/>
            <w:tcBorders>
              <w:top w:val="single" w:sz="4" w:space="0" w:color="auto"/>
              <w:left w:val="nil"/>
              <w:bottom w:val="single" w:sz="4" w:space="0" w:color="auto"/>
              <w:right w:val="single" w:sz="4" w:space="0" w:color="auto"/>
            </w:tcBorders>
            <w:shd w:val="clear" w:color="000000" w:fill="D9D9D9"/>
            <w:noWrap/>
            <w:vAlign w:val="center"/>
            <w:hideMark/>
          </w:tcPr>
          <w:p w14:paraId="0FD86096" w14:textId="1038303B" w:rsidR="000B0038" w:rsidRPr="00777B0C" w:rsidRDefault="00D40634" w:rsidP="00C11138">
            <w:pPr>
              <w:jc w:val="both"/>
            </w:pPr>
            <w:r w:rsidRPr="00777B0C">
              <w:t>Indeks 26./25</w:t>
            </w:r>
            <w:r w:rsidR="000B0038" w:rsidRPr="00777B0C">
              <w:t>.</w:t>
            </w:r>
          </w:p>
        </w:tc>
      </w:tr>
      <w:tr w:rsidR="004236AF" w:rsidRPr="003B4423" w14:paraId="0C45DF3A" w14:textId="77777777" w:rsidTr="00FA019F">
        <w:trPr>
          <w:trHeight w:val="480"/>
        </w:trPr>
        <w:tc>
          <w:tcPr>
            <w:tcW w:w="1158" w:type="dxa"/>
            <w:tcBorders>
              <w:top w:val="nil"/>
              <w:left w:val="single" w:sz="4" w:space="0" w:color="auto"/>
              <w:bottom w:val="single" w:sz="4" w:space="0" w:color="auto"/>
              <w:right w:val="single" w:sz="4" w:space="0" w:color="auto"/>
            </w:tcBorders>
            <w:shd w:val="clear" w:color="auto" w:fill="auto"/>
            <w:vAlign w:val="bottom"/>
            <w:hideMark/>
          </w:tcPr>
          <w:p w14:paraId="7E3442BB" w14:textId="3E8528CC" w:rsidR="004236AF" w:rsidRPr="003B4423" w:rsidRDefault="004236AF" w:rsidP="00C11138">
            <w:pPr>
              <w:jc w:val="both"/>
            </w:pPr>
            <w:r w:rsidRPr="003B4423">
              <w:t>A</w:t>
            </w:r>
            <w:r w:rsidR="005A1FAE">
              <w:t>679134</w:t>
            </w:r>
          </w:p>
        </w:tc>
        <w:tc>
          <w:tcPr>
            <w:tcW w:w="1216" w:type="dxa"/>
            <w:tcBorders>
              <w:top w:val="nil"/>
              <w:left w:val="nil"/>
              <w:bottom w:val="single" w:sz="4" w:space="0" w:color="auto"/>
              <w:right w:val="single" w:sz="4" w:space="0" w:color="auto"/>
            </w:tcBorders>
            <w:shd w:val="clear" w:color="auto" w:fill="auto"/>
            <w:noWrap/>
            <w:vAlign w:val="bottom"/>
          </w:tcPr>
          <w:p w14:paraId="35F0F08D" w14:textId="6CB74F08" w:rsidR="004236AF" w:rsidRPr="003B4423" w:rsidRDefault="00E92817" w:rsidP="00C11138">
            <w:pPr>
              <w:jc w:val="both"/>
            </w:pPr>
            <w:r w:rsidRPr="003B4423">
              <w:t>7.832.518</w:t>
            </w:r>
          </w:p>
        </w:tc>
        <w:tc>
          <w:tcPr>
            <w:tcW w:w="1360" w:type="dxa"/>
            <w:tcBorders>
              <w:top w:val="nil"/>
              <w:left w:val="nil"/>
              <w:bottom w:val="single" w:sz="4" w:space="0" w:color="auto"/>
              <w:right w:val="single" w:sz="4" w:space="0" w:color="auto"/>
            </w:tcBorders>
            <w:shd w:val="clear" w:color="auto" w:fill="auto"/>
            <w:noWrap/>
            <w:vAlign w:val="bottom"/>
          </w:tcPr>
          <w:p w14:paraId="77492B5C" w14:textId="6A66E800" w:rsidR="004236AF" w:rsidRPr="003B4423" w:rsidRDefault="003B4423" w:rsidP="00FA019F">
            <w:pPr>
              <w:jc w:val="both"/>
            </w:pPr>
            <w:r w:rsidRPr="003B4423">
              <w:t>9.060.855</w:t>
            </w:r>
          </w:p>
        </w:tc>
        <w:tc>
          <w:tcPr>
            <w:tcW w:w="1596" w:type="dxa"/>
            <w:tcBorders>
              <w:top w:val="nil"/>
              <w:left w:val="nil"/>
              <w:bottom w:val="single" w:sz="4" w:space="0" w:color="auto"/>
              <w:right w:val="single" w:sz="4" w:space="0" w:color="auto"/>
            </w:tcBorders>
            <w:shd w:val="clear" w:color="auto" w:fill="auto"/>
            <w:noWrap/>
            <w:vAlign w:val="bottom"/>
          </w:tcPr>
          <w:p w14:paraId="4D1155F7" w14:textId="00F7FF97" w:rsidR="004236AF" w:rsidRPr="003B4423" w:rsidRDefault="003B4423" w:rsidP="00C11138">
            <w:pPr>
              <w:jc w:val="both"/>
            </w:pPr>
            <w:r w:rsidRPr="003B4423">
              <w:t>9.838.295</w:t>
            </w:r>
          </w:p>
        </w:tc>
        <w:tc>
          <w:tcPr>
            <w:tcW w:w="1596" w:type="dxa"/>
            <w:tcBorders>
              <w:top w:val="nil"/>
              <w:left w:val="nil"/>
              <w:bottom w:val="single" w:sz="4" w:space="0" w:color="auto"/>
              <w:right w:val="single" w:sz="4" w:space="0" w:color="auto"/>
            </w:tcBorders>
            <w:shd w:val="clear" w:color="auto" w:fill="auto"/>
            <w:noWrap/>
            <w:vAlign w:val="bottom"/>
          </w:tcPr>
          <w:p w14:paraId="1FA69378" w14:textId="5125003A" w:rsidR="004236AF" w:rsidRPr="003B4423" w:rsidRDefault="003B4423" w:rsidP="00FA019F">
            <w:r w:rsidRPr="003B4423">
              <w:t>10.799.720</w:t>
            </w:r>
          </w:p>
        </w:tc>
        <w:tc>
          <w:tcPr>
            <w:tcW w:w="1596" w:type="dxa"/>
            <w:tcBorders>
              <w:top w:val="nil"/>
              <w:left w:val="nil"/>
              <w:bottom w:val="single" w:sz="4" w:space="0" w:color="auto"/>
              <w:right w:val="single" w:sz="4" w:space="0" w:color="auto"/>
            </w:tcBorders>
            <w:shd w:val="clear" w:color="auto" w:fill="auto"/>
            <w:noWrap/>
            <w:vAlign w:val="bottom"/>
          </w:tcPr>
          <w:p w14:paraId="04CA3EDA" w14:textId="1766E36F" w:rsidR="004236AF" w:rsidRPr="003B4423" w:rsidRDefault="003B4423" w:rsidP="00FA019F">
            <w:r w:rsidRPr="003B4423">
              <w:t>12.122.054</w:t>
            </w:r>
          </w:p>
        </w:tc>
        <w:tc>
          <w:tcPr>
            <w:tcW w:w="1117" w:type="dxa"/>
            <w:tcBorders>
              <w:top w:val="nil"/>
              <w:left w:val="nil"/>
              <w:bottom w:val="single" w:sz="4" w:space="0" w:color="auto"/>
              <w:right w:val="single" w:sz="4" w:space="0" w:color="auto"/>
            </w:tcBorders>
            <w:shd w:val="clear" w:color="auto" w:fill="auto"/>
            <w:noWrap/>
            <w:vAlign w:val="bottom"/>
          </w:tcPr>
          <w:p w14:paraId="5DD9EC2A" w14:textId="4530CC89" w:rsidR="004236AF" w:rsidRPr="003B4423" w:rsidRDefault="003B4423" w:rsidP="00C11138">
            <w:pPr>
              <w:jc w:val="both"/>
            </w:pPr>
            <w:r w:rsidRPr="003B4423">
              <w:t>108,58</w:t>
            </w:r>
          </w:p>
        </w:tc>
      </w:tr>
    </w:tbl>
    <w:p w14:paraId="6F9170FC" w14:textId="77777777" w:rsidR="000B0038" w:rsidRPr="003B4423" w:rsidRDefault="000B0038" w:rsidP="00C11138">
      <w:pPr>
        <w:jc w:val="both"/>
        <w:rPr>
          <w:bCs/>
        </w:rPr>
      </w:pPr>
    </w:p>
    <w:p w14:paraId="7225C581" w14:textId="02A37BE0" w:rsidR="00F937CA" w:rsidRPr="00F937CA" w:rsidRDefault="00225E0B" w:rsidP="00225E0B">
      <w:pPr>
        <w:jc w:val="both"/>
        <w:rPr>
          <w:bCs/>
        </w:rPr>
      </w:pPr>
      <w:r w:rsidRPr="00F937CA">
        <w:rPr>
          <w:bCs/>
        </w:rPr>
        <w:t>Programsko financiranje na teret izvora 11 - Opći prihodi i primici. obuhvaća slijedeće komponente:</w:t>
      </w:r>
    </w:p>
    <w:p w14:paraId="54D3EDB5" w14:textId="77777777" w:rsidR="00F937CA" w:rsidRPr="00F937CA" w:rsidRDefault="00F937CA" w:rsidP="00225E0B">
      <w:pPr>
        <w:jc w:val="both"/>
        <w:rPr>
          <w:bCs/>
        </w:rPr>
      </w:pPr>
    </w:p>
    <w:p w14:paraId="7AEA54C7" w14:textId="776D5BE3" w:rsidR="00F937CA" w:rsidRPr="00F937CA" w:rsidRDefault="00225E0B" w:rsidP="00F937CA">
      <w:pPr>
        <w:numPr>
          <w:ilvl w:val="0"/>
          <w:numId w:val="5"/>
        </w:numPr>
        <w:jc w:val="both"/>
        <w:rPr>
          <w:b/>
          <w:bCs/>
        </w:rPr>
      </w:pPr>
      <w:r w:rsidRPr="00F937CA">
        <w:rPr>
          <w:b/>
          <w:bCs/>
        </w:rPr>
        <w:t xml:space="preserve">Osnovna komponenta </w:t>
      </w:r>
    </w:p>
    <w:p w14:paraId="396B09C7" w14:textId="77777777" w:rsidR="00F937CA" w:rsidRPr="00F937CA" w:rsidRDefault="00F937CA" w:rsidP="00F937CA">
      <w:pPr>
        <w:ind w:left="525"/>
        <w:jc w:val="both"/>
        <w:rPr>
          <w:b/>
          <w:bCs/>
        </w:rPr>
      </w:pPr>
    </w:p>
    <w:p w14:paraId="57A5ADE1" w14:textId="77777777" w:rsidR="00225E0B" w:rsidRPr="00F937CA" w:rsidRDefault="00225E0B" w:rsidP="00225E0B">
      <w:pPr>
        <w:numPr>
          <w:ilvl w:val="0"/>
          <w:numId w:val="6"/>
        </w:numPr>
        <w:jc w:val="both"/>
        <w:rPr>
          <w:bCs/>
          <w:u w:val="single"/>
        </w:rPr>
      </w:pPr>
      <w:r w:rsidRPr="00F937CA">
        <w:rPr>
          <w:bCs/>
          <w:u w:val="single"/>
        </w:rPr>
        <w:t>Plaće i materijalna prava zaposlenih:</w:t>
      </w:r>
    </w:p>
    <w:p w14:paraId="33D6307D" w14:textId="43A8D2B9" w:rsidR="00B80E2C" w:rsidRPr="00F937CA" w:rsidRDefault="00225E0B" w:rsidP="00B80E2C">
      <w:pPr>
        <w:pStyle w:val="ListParagraph"/>
        <w:ind w:left="0"/>
        <w:jc w:val="both"/>
        <w:rPr>
          <w:rFonts w:eastAsia="MS Mincho"/>
          <w:lang w:val="en-US"/>
        </w:rPr>
      </w:pPr>
      <w:r w:rsidRPr="00F937CA">
        <w:rPr>
          <w:bCs/>
        </w:rPr>
        <w:t>Na ovom mjestu planirani su troškovi za one zaposlene kojima se plaću isplaćuje iz Proračuna RH- Troškovi obuhvaćaju plaće za redovan rad, ostali rashodi za zaposlene, doprinosi za obvezno zdravstveno osiguranje, naknade za prijevoz, za rad na terenu i odvojeni život. Ukupan planirani iznos za 2026</w:t>
      </w:r>
      <w:r w:rsidRPr="003B4423">
        <w:rPr>
          <w:bCs/>
        </w:rPr>
        <w:t xml:space="preserve">. iznosi </w:t>
      </w:r>
      <w:r w:rsidR="003B4423" w:rsidRPr="003B4423">
        <w:rPr>
          <w:bCs/>
        </w:rPr>
        <w:t>8.722.337</w:t>
      </w:r>
      <w:r w:rsidRPr="003B4423">
        <w:rPr>
          <w:bCs/>
        </w:rPr>
        <w:t xml:space="preserve"> </w:t>
      </w:r>
      <w:r w:rsidRPr="00F937CA">
        <w:rPr>
          <w:bCs/>
        </w:rPr>
        <w:t xml:space="preserve">€. </w:t>
      </w:r>
      <w:r w:rsidR="00B80E2C" w:rsidRPr="00F937CA">
        <w:rPr>
          <w:rFonts w:eastAsia="Calibri"/>
          <w:bCs/>
          <w:lang w:val="en-US"/>
        </w:rPr>
        <w:t xml:space="preserve">U </w:t>
      </w:r>
      <w:proofErr w:type="spellStart"/>
      <w:r w:rsidR="00B80E2C" w:rsidRPr="00F937CA">
        <w:rPr>
          <w:rFonts w:eastAsia="Calibri"/>
          <w:bCs/>
          <w:lang w:val="en-US"/>
        </w:rPr>
        <w:t>odnosu</w:t>
      </w:r>
      <w:proofErr w:type="spellEnd"/>
      <w:r w:rsidR="00B80E2C" w:rsidRPr="00F937CA">
        <w:rPr>
          <w:rFonts w:eastAsia="Calibri"/>
          <w:bCs/>
          <w:lang w:val="en-US"/>
        </w:rPr>
        <w:t xml:space="preserve"> </w:t>
      </w:r>
      <w:proofErr w:type="spellStart"/>
      <w:r w:rsidR="00B80E2C" w:rsidRPr="00F937CA">
        <w:rPr>
          <w:rFonts w:eastAsia="Calibri"/>
          <w:bCs/>
          <w:lang w:val="en-US"/>
        </w:rPr>
        <w:t>na</w:t>
      </w:r>
      <w:proofErr w:type="spellEnd"/>
      <w:r w:rsidR="00B80E2C" w:rsidRPr="00F937CA">
        <w:rPr>
          <w:rFonts w:eastAsia="Calibri"/>
          <w:bCs/>
          <w:lang w:val="en-US"/>
        </w:rPr>
        <w:t xml:space="preserve"> </w:t>
      </w:r>
      <w:proofErr w:type="spellStart"/>
      <w:r w:rsidR="00B80E2C" w:rsidRPr="00F937CA">
        <w:rPr>
          <w:rFonts w:eastAsia="Calibri"/>
          <w:bCs/>
          <w:lang w:val="en-US"/>
        </w:rPr>
        <w:t>ranije</w:t>
      </w:r>
      <w:proofErr w:type="spellEnd"/>
      <w:r w:rsidR="00B80E2C" w:rsidRPr="00F937CA">
        <w:rPr>
          <w:rFonts w:eastAsia="Calibri"/>
          <w:bCs/>
          <w:lang w:val="en-US"/>
        </w:rPr>
        <w:t xml:space="preserve"> </w:t>
      </w:r>
      <w:proofErr w:type="spellStart"/>
      <w:r w:rsidR="00B80E2C" w:rsidRPr="00F937CA">
        <w:rPr>
          <w:rFonts w:eastAsia="Calibri"/>
          <w:bCs/>
          <w:lang w:val="en-US"/>
        </w:rPr>
        <w:t>godine</w:t>
      </w:r>
      <w:proofErr w:type="spellEnd"/>
      <w:r w:rsidR="00B80E2C" w:rsidRPr="00F937CA">
        <w:rPr>
          <w:rFonts w:eastAsia="Calibri"/>
          <w:bCs/>
          <w:lang w:val="en-US"/>
        </w:rPr>
        <w:t xml:space="preserve"> limit je </w:t>
      </w:r>
      <w:proofErr w:type="spellStart"/>
      <w:r w:rsidR="00B80E2C" w:rsidRPr="00F937CA">
        <w:rPr>
          <w:rFonts w:eastAsia="Calibri"/>
          <w:bCs/>
          <w:lang w:val="en-US"/>
        </w:rPr>
        <w:t>planiran</w:t>
      </w:r>
      <w:proofErr w:type="spellEnd"/>
      <w:r w:rsidR="00B80E2C" w:rsidRPr="00F937CA">
        <w:rPr>
          <w:rFonts w:eastAsia="Calibri"/>
          <w:bCs/>
          <w:lang w:val="en-US"/>
        </w:rPr>
        <w:t xml:space="preserve"> u </w:t>
      </w:r>
      <w:proofErr w:type="spellStart"/>
      <w:r w:rsidR="00B80E2C" w:rsidRPr="00F937CA">
        <w:rPr>
          <w:rFonts w:eastAsia="Calibri"/>
          <w:bCs/>
          <w:lang w:val="en-US"/>
        </w:rPr>
        <w:t>većem</w:t>
      </w:r>
      <w:proofErr w:type="spellEnd"/>
      <w:r w:rsidR="00B80E2C" w:rsidRPr="00F937CA">
        <w:rPr>
          <w:rFonts w:eastAsia="Calibri"/>
          <w:bCs/>
          <w:lang w:val="en-US"/>
        </w:rPr>
        <w:t xml:space="preserve"> </w:t>
      </w:r>
      <w:proofErr w:type="spellStart"/>
      <w:r w:rsidR="00B80E2C" w:rsidRPr="00F937CA">
        <w:rPr>
          <w:rFonts w:eastAsia="Calibri"/>
          <w:bCs/>
          <w:lang w:val="en-US"/>
        </w:rPr>
        <w:t>iznosu</w:t>
      </w:r>
      <w:proofErr w:type="spellEnd"/>
      <w:r w:rsidR="00B80E2C" w:rsidRPr="00F937CA">
        <w:rPr>
          <w:rFonts w:eastAsia="Calibri"/>
          <w:bCs/>
          <w:lang w:val="en-US"/>
        </w:rPr>
        <w:t xml:space="preserve"> </w:t>
      </w:r>
      <w:proofErr w:type="spellStart"/>
      <w:r w:rsidR="00B80E2C" w:rsidRPr="00F937CA">
        <w:rPr>
          <w:rFonts w:eastAsia="Calibri"/>
          <w:bCs/>
          <w:lang w:val="en-US"/>
        </w:rPr>
        <w:t>radi</w:t>
      </w:r>
      <w:proofErr w:type="spellEnd"/>
      <w:r w:rsidR="00B80E2C" w:rsidRPr="00F937CA">
        <w:rPr>
          <w:rFonts w:eastAsia="Calibri"/>
          <w:bCs/>
          <w:lang w:val="en-US"/>
        </w:rPr>
        <w:t xml:space="preserve"> </w:t>
      </w:r>
      <w:proofErr w:type="spellStart"/>
      <w:r w:rsidR="00B80E2C" w:rsidRPr="00F937CA">
        <w:rPr>
          <w:rFonts w:eastAsia="Calibri"/>
          <w:bCs/>
          <w:lang w:val="en-US"/>
        </w:rPr>
        <w:t>promjena</w:t>
      </w:r>
      <w:proofErr w:type="spellEnd"/>
      <w:r w:rsidR="00B80E2C" w:rsidRPr="00F937CA">
        <w:rPr>
          <w:rFonts w:eastAsia="Calibri"/>
          <w:bCs/>
          <w:lang w:val="en-US"/>
        </w:rPr>
        <w:t xml:space="preserve"> u </w:t>
      </w:r>
      <w:proofErr w:type="spellStart"/>
      <w:r w:rsidR="00B80E2C" w:rsidRPr="00F937CA">
        <w:rPr>
          <w:rFonts w:eastAsia="Calibri"/>
          <w:bCs/>
          <w:lang w:val="en-US"/>
        </w:rPr>
        <w:t>financiranju</w:t>
      </w:r>
      <w:proofErr w:type="spellEnd"/>
      <w:r w:rsidR="00B80E2C" w:rsidRPr="00F937CA">
        <w:rPr>
          <w:rFonts w:eastAsia="Calibri"/>
          <w:bCs/>
          <w:lang w:val="en-US"/>
        </w:rPr>
        <w:t xml:space="preserve"> </w:t>
      </w:r>
      <w:proofErr w:type="spellStart"/>
      <w:r w:rsidR="00B80E2C" w:rsidRPr="00F937CA">
        <w:rPr>
          <w:rFonts w:eastAsia="Calibri"/>
          <w:bCs/>
          <w:lang w:val="en-US"/>
        </w:rPr>
        <w:t>iz</w:t>
      </w:r>
      <w:proofErr w:type="spellEnd"/>
      <w:r w:rsidR="00B80E2C" w:rsidRPr="00F937CA">
        <w:rPr>
          <w:rFonts w:eastAsia="Calibri"/>
          <w:bCs/>
          <w:lang w:val="en-US"/>
        </w:rPr>
        <w:t xml:space="preserve"> </w:t>
      </w:r>
      <w:proofErr w:type="spellStart"/>
      <w:r w:rsidR="00B80E2C" w:rsidRPr="00F937CA">
        <w:rPr>
          <w:rFonts w:eastAsia="Calibri"/>
          <w:bCs/>
          <w:lang w:val="en-US"/>
        </w:rPr>
        <w:t>Državnog</w:t>
      </w:r>
      <w:proofErr w:type="spellEnd"/>
      <w:r w:rsidR="00B80E2C" w:rsidRPr="00F937CA">
        <w:rPr>
          <w:rFonts w:eastAsia="Calibri"/>
          <w:bCs/>
          <w:lang w:val="en-US"/>
        </w:rPr>
        <w:t xml:space="preserve"> </w:t>
      </w:r>
      <w:proofErr w:type="spellStart"/>
      <w:r w:rsidR="00B80E2C" w:rsidRPr="00F937CA">
        <w:rPr>
          <w:rFonts w:eastAsia="Calibri"/>
          <w:bCs/>
          <w:lang w:val="en-US"/>
        </w:rPr>
        <w:t>proračuna</w:t>
      </w:r>
      <w:proofErr w:type="spellEnd"/>
      <w:r w:rsidR="00B80E2C" w:rsidRPr="00F937CA">
        <w:rPr>
          <w:rFonts w:eastAsia="Calibri"/>
          <w:bCs/>
          <w:lang w:val="en-US"/>
        </w:rPr>
        <w:t xml:space="preserve">. </w:t>
      </w:r>
      <w:proofErr w:type="spellStart"/>
      <w:r w:rsidR="00B80E2C" w:rsidRPr="00F937CA">
        <w:rPr>
          <w:rFonts w:eastAsia="Calibri"/>
          <w:bCs/>
          <w:lang w:val="en-US"/>
        </w:rPr>
        <w:t>U</w:t>
      </w:r>
      <w:r w:rsidR="00B80E2C" w:rsidRPr="00F937CA">
        <w:rPr>
          <w:rFonts w:eastAsia="MS Mincho"/>
          <w:lang w:val="en-US"/>
        </w:rPr>
        <w:t>tvrđuje</w:t>
      </w:r>
      <w:proofErr w:type="spellEnd"/>
      <w:r w:rsidR="00B80E2C" w:rsidRPr="00F937CA">
        <w:rPr>
          <w:rFonts w:eastAsia="MS Mincho"/>
          <w:lang w:val="en-US"/>
        </w:rPr>
        <w:t xml:space="preserve"> se </w:t>
      </w:r>
      <w:proofErr w:type="spellStart"/>
      <w:r w:rsidR="00B80E2C" w:rsidRPr="00F937CA">
        <w:rPr>
          <w:rFonts w:eastAsia="MS Mincho"/>
          <w:lang w:val="en-US"/>
        </w:rPr>
        <w:t>višegodišnje</w:t>
      </w:r>
      <w:proofErr w:type="spellEnd"/>
      <w:r w:rsidR="00B80E2C" w:rsidRPr="00F937CA">
        <w:rPr>
          <w:rFonts w:eastAsia="MS Mincho"/>
          <w:lang w:val="en-US"/>
        </w:rPr>
        <w:t xml:space="preserve"> </w:t>
      </w:r>
      <w:proofErr w:type="spellStart"/>
      <w:r w:rsidR="00B80E2C" w:rsidRPr="00F937CA">
        <w:rPr>
          <w:rFonts w:eastAsia="MS Mincho"/>
          <w:lang w:val="en-US"/>
        </w:rPr>
        <w:t>financiranje</w:t>
      </w:r>
      <w:proofErr w:type="spellEnd"/>
      <w:r w:rsidR="00B80E2C" w:rsidRPr="00F937CA">
        <w:rPr>
          <w:rFonts w:eastAsia="MS Mincho"/>
          <w:lang w:val="en-US"/>
        </w:rPr>
        <w:t xml:space="preserve"> </w:t>
      </w:r>
      <w:proofErr w:type="spellStart"/>
      <w:r w:rsidR="00B80E2C" w:rsidRPr="00F937CA">
        <w:rPr>
          <w:rFonts w:eastAsia="MS Mincho"/>
          <w:lang w:val="en-US"/>
        </w:rPr>
        <w:t>osnovne</w:t>
      </w:r>
      <w:proofErr w:type="spellEnd"/>
      <w:r w:rsidR="00B80E2C" w:rsidRPr="00F937CA">
        <w:rPr>
          <w:rFonts w:eastAsia="MS Mincho"/>
          <w:lang w:val="en-US"/>
        </w:rPr>
        <w:t xml:space="preserve">, </w:t>
      </w:r>
      <w:proofErr w:type="spellStart"/>
      <w:r w:rsidR="00B80E2C" w:rsidRPr="00F937CA">
        <w:rPr>
          <w:rFonts w:eastAsia="MS Mincho"/>
          <w:lang w:val="en-US"/>
        </w:rPr>
        <w:t>razvojne</w:t>
      </w:r>
      <w:proofErr w:type="spellEnd"/>
      <w:r w:rsidR="00B80E2C" w:rsidRPr="00F937CA">
        <w:rPr>
          <w:rFonts w:eastAsia="MS Mincho"/>
          <w:lang w:val="en-US"/>
        </w:rPr>
        <w:t xml:space="preserve"> </w:t>
      </w:r>
      <w:proofErr w:type="spellStart"/>
      <w:r w:rsidR="00B80E2C" w:rsidRPr="00F937CA">
        <w:rPr>
          <w:rFonts w:eastAsia="MS Mincho"/>
          <w:lang w:val="en-US"/>
        </w:rPr>
        <w:t>i</w:t>
      </w:r>
      <w:proofErr w:type="spellEnd"/>
      <w:r w:rsidR="00B80E2C" w:rsidRPr="00F937CA">
        <w:rPr>
          <w:rFonts w:eastAsia="MS Mincho"/>
          <w:lang w:val="en-US"/>
        </w:rPr>
        <w:t xml:space="preserve"> </w:t>
      </w:r>
      <w:proofErr w:type="spellStart"/>
      <w:r w:rsidR="00B80E2C" w:rsidRPr="00F937CA">
        <w:rPr>
          <w:rFonts w:eastAsia="MS Mincho"/>
          <w:lang w:val="en-US"/>
        </w:rPr>
        <w:t>izvedbene</w:t>
      </w:r>
      <w:proofErr w:type="spellEnd"/>
      <w:r w:rsidR="00B80E2C" w:rsidRPr="00F937CA">
        <w:rPr>
          <w:rFonts w:eastAsia="MS Mincho"/>
          <w:lang w:val="en-US"/>
        </w:rPr>
        <w:t xml:space="preserve"> </w:t>
      </w:r>
      <w:proofErr w:type="spellStart"/>
      <w:r w:rsidR="00B80E2C" w:rsidRPr="00F937CA">
        <w:rPr>
          <w:rFonts w:eastAsia="MS Mincho"/>
          <w:lang w:val="en-US"/>
        </w:rPr>
        <w:t>proračunske</w:t>
      </w:r>
      <w:proofErr w:type="spellEnd"/>
      <w:r w:rsidR="00B80E2C" w:rsidRPr="00F937CA">
        <w:rPr>
          <w:rFonts w:eastAsia="MS Mincho"/>
          <w:lang w:val="en-US"/>
        </w:rPr>
        <w:t xml:space="preserve"> </w:t>
      </w:r>
      <w:proofErr w:type="spellStart"/>
      <w:r w:rsidR="00B80E2C" w:rsidRPr="00F937CA">
        <w:rPr>
          <w:rFonts w:eastAsia="MS Mincho"/>
          <w:lang w:val="en-US"/>
        </w:rPr>
        <w:t>komponente</w:t>
      </w:r>
      <w:proofErr w:type="spellEnd"/>
      <w:r w:rsidR="00B80E2C" w:rsidRPr="00F937CA">
        <w:rPr>
          <w:rFonts w:eastAsia="MS Mincho"/>
          <w:lang w:val="en-US"/>
        </w:rPr>
        <w:t xml:space="preserve"> </w:t>
      </w:r>
      <w:proofErr w:type="spellStart"/>
      <w:r w:rsidR="00B80E2C" w:rsidRPr="00F937CA">
        <w:rPr>
          <w:rFonts w:eastAsia="MS Mincho"/>
          <w:lang w:val="en-US"/>
        </w:rPr>
        <w:t>sredstvima</w:t>
      </w:r>
      <w:proofErr w:type="spellEnd"/>
      <w:r w:rsidR="00B80E2C" w:rsidRPr="00F937CA">
        <w:rPr>
          <w:rFonts w:eastAsia="MS Mincho"/>
          <w:lang w:val="en-US"/>
        </w:rPr>
        <w:t xml:space="preserve"> </w:t>
      </w:r>
      <w:proofErr w:type="spellStart"/>
      <w:r w:rsidR="00B80E2C" w:rsidRPr="00F937CA">
        <w:rPr>
          <w:rFonts w:eastAsia="MS Mincho"/>
          <w:lang w:val="en-US"/>
        </w:rPr>
        <w:t>državnog</w:t>
      </w:r>
      <w:proofErr w:type="spellEnd"/>
      <w:r w:rsidR="00B80E2C" w:rsidRPr="00F937CA">
        <w:rPr>
          <w:rFonts w:eastAsia="MS Mincho"/>
          <w:lang w:val="en-US"/>
        </w:rPr>
        <w:t xml:space="preserve"> </w:t>
      </w:r>
      <w:proofErr w:type="spellStart"/>
      <w:r w:rsidR="00B80E2C" w:rsidRPr="00F937CA">
        <w:rPr>
          <w:rFonts w:eastAsia="MS Mincho"/>
          <w:lang w:val="en-US"/>
        </w:rPr>
        <w:t>proračuna</w:t>
      </w:r>
      <w:proofErr w:type="spellEnd"/>
      <w:r w:rsidR="00B80E2C" w:rsidRPr="00F937CA">
        <w:rPr>
          <w:rFonts w:eastAsia="MS Mincho"/>
          <w:lang w:val="en-US"/>
        </w:rPr>
        <w:t xml:space="preserve"> </w:t>
      </w:r>
      <w:proofErr w:type="spellStart"/>
      <w:r w:rsidR="00B80E2C" w:rsidRPr="00F937CA">
        <w:rPr>
          <w:rFonts w:eastAsia="MS Mincho"/>
          <w:lang w:val="en-US"/>
        </w:rPr>
        <w:t>Republike</w:t>
      </w:r>
      <w:proofErr w:type="spellEnd"/>
      <w:r w:rsidR="00B80E2C" w:rsidRPr="00F937CA">
        <w:rPr>
          <w:rFonts w:eastAsia="MS Mincho"/>
          <w:lang w:val="en-US"/>
        </w:rPr>
        <w:t xml:space="preserve"> </w:t>
      </w:r>
      <w:proofErr w:type="spellStart"/>
      <w:r w:rsidR="00B80E2C" w:rsidRPr="00F937CA">
        <w:rPr>
          <w:rFonts w:eastAsia="MS Mincho"/>
          <w:lang w:val="en-US"/>
        </w:rPr>
        <w:t>Hrvatske</w:t>
      </w:r>
      <w:proofErr w:type="spellEnd"/>
      <w:r w:rsidR="00B80E2C" w:rsidRPr="00F937CA">
        <w:rPr>
          <w:rFonts w:eastAsia="MS Mincho"/>
          <w:lang w:val="en-US"/>
        </w:rPr>
        <w:t xml:space="preserve">, u </w:t>
      </w:r>
      <w:proofErr w:type="spellStart"/>
      <w:r w:rsidR="00B80E2C" w:rsidRPr="00F937CA">
        <w:rPr>
          <w:rFonts w:eastAsia="MS Mincho"/>
          <w:lang w:val="en-US"/>
        </w:rPr>
        <w:t>skladu</w:t>
      </w:r>
      <w:proofErr w:type="spellEnd"/>
      <w:r w:rsidR="00B80E2C" w:rsidRPr="00F937CA">
        <w:rPr>
          <w:rFonts w:eastAsia="MS Mincho"/>
          <w:lang w:val="en-US"/>
        </w:rPr>
        <w:t xml:space="preserve"> s </w:t>
      </w:r>
      <w:proofErr w:type="spellStart"/>
      <w:r w:rsidR="00B80E2C" w:rsidRPr="00F937CA">
        <w:rPr>
          <w:rFonts w:eastAsia="MS Mincho"/>
          <w:lang w:val="en-US"/>
        </w:rPr>
        <w:t>postupkom</w:t>
      </w:r>
      <w:proofErr w:type="spellEnd"/>
      <w:r w:rsidR="00B80E2C" w:rsidRPr="00F937CA">
        <w:rPr>
          <w:rFonts w:eastAsia="MS Mincho"/>
          <w:lang w:val="en-US"/>
        </w:rPr>
        <w:t xml:space="preserve"> </w:t>
      </w:r>
      <w:proofErr w:type="spellStart"/>
      <w:r w:rsidR="00B80E2C" w:rsidRPr="00F937CA">
        <w:rPr>
          <w:rFonts w:eastAsia="MS Mincho"/>
          <w:lang w:val="en-US"/>
        </w:rPr>
        <w:t>propisanim</w:t>
      </w:r>
      <w:proofErr w:type="spellEnd"/>
      <w:r w:rsidR="00B80E2C" w:rsidRPr="00F937CA">
        <w:rPr>
          <w:rFonts w:eastAsia="MS Mincho"/>
          <w:lang w:val="en-US"/>
        </w:rPr>
        <w:t xml:space="preserve"> </w:t>
      </w:r>
      <w:proofErr w:type="spellStart"/>
      <w:r w:rsidR="00B80E2C" w:rsidRPr="00F937CA">
        <w:rPr>
          <w:rFonts w:eastAsia="MS Mincho"/>
          <w:lang w:val="en-US"/>
        </w:rPr>
        <w:t>Zakonom</w:t>
      </w:r>
      <w:proofErr w:type="spellEnd"/>
      <w:r w:rsidR="00B80E2C" w:rsidRPr="00F937CA">
        <w:rPr>
          <w:rFonts w:eastAsia="MS Mincho"/>
          <w:lang w:val="en-US"/>
        </w:rPr>
        <w:t xml:space="preserve"> o </w:t>
      </w:r>
      <w:proofErr w:type="spellStart"/>
      <w:r w:rsidR="00B80E2C" w:rsidRPr="00F937CA">
        <w:rPr>
          <w:rFonts w:eastAsia="MS Mincho"/>
          <w:lang w:val="en-US"/>
        </w:rPr>
        <w:t>visokom</w:t>
      </w:r>
      <w:proofErr w:type="spellEnd"/>
      <w:r w:rsidR="00B80E2C" w:rsidRPr="00F937CA">
        <w:rPr>
          <w:rFonts w:eastAsia="MS Mincho"/>
          <w:lang w:val="en-US"/>
        </w:rPr>
        <w:t xml:space="preserve"> </w:t>
      </w:r>
      <w:proofErr w:type="spellStart"/>
      <w:r w:rsidR="00B80E2C" w:rsidRPr="00F937CA">
        <w:rPr>
          <w:rFonts w:eastAsia="MS Mincho"/>
          <w:lang w:val="en-US"/>
        </w:rPr>
        <w:t>obrazovanju</w:t>
      </w:r>
      <w:proofErr w:type="spellEnd"/>
      <w:r w:rsidR="00B80E2C" w:rsidRPr="00F937CA">
        <w:rPr>
          <w:rFonts w:eastAsia="MS Mincho"/>
          <w:lang w:val="en-US"/>
        </w:rPr>
        <w:t xml:space="preserve"> </w:t>
      </w:r>
      <w:proofErr w:type="spellStart"/>
      <w:r w:rsidR="00B80E2C" w:rsidRPr="00F937CA">
        <w:rPr>
          <w:rFonts w:eastAsia="MS Mincho"/>
          <w:lang w:val="en-US"/>
        </w:rPr>
        <w:t>i</w:t>
      </w:r>
      <w:proofErr w:type="spellEnd"/>
      <w:r w:rsidR="00B80E2C" w:rsidRPr="00F937CA">
        <w:rPr>
          <w:rFonts w:eastAsia="MS Mincho"/>
          <w:lang w:val="en-US"/>
        </w:rPr>
        <w:t xml:space="preserve"> </w:t>
      </w:r>
      <w:proofErr w:type="spellStart"/>
      <w:r w:rsidR="00B80E2C" w:rsidRPr="00F937CA">
        <w:rPr>
          <w:rFonts w:eastAsia="MS Mincho"/>
          <w:lang w:val="en-US"/>
        </w:rPr>
        <w:t>znanstvenoj</w:t>
      </w:r>
      <w:proofErr w:type="spellEnd"/>
      <w:r w:rsidR="00B80E2C" w:rsidRPr="00F937CA">
        <w:rPr>
          <w:rFonts w:eastAsia="MS Mincho"/>
          <w:lang w:val="en-US"/>
        </w:rPr>
        <w:t xml:space="preserve"> </w:t>
      </w:r>
      <w:proofErr w:type="spellStart"/>
      <w:r w:rsidR="00B80E2C" w:rsidRPr="00F937CA">
        <w:rPr>
          <w:rFonts w:eastAsia="MS Mincho"/>
          <w:lang w:val="en-US"/>
        </w:rPr>
        <w:t>djelatnosti</w:t>
      </w:r>
      <w:proofErr w:type="spellEnd"/>
      <w:r w:rsidR="00B80E2C" w:rsidRPr="00F937CA">
        <w:rPr>
          <w:rFonts w:eastAsia="MS Mincho"/>
          <w:lang w:val="en-US"/>
        </w:rPr>
        <w:t xml:space="preserve"> (“</w:t>
      </w:r>
      <w:proofErr w:type="spellStart"/>
      <w:r w:rsidR="00B80E2C" w:rsidRPr="00F937CA">
        <w:rPr>
          <w:rFonts w:eastAsia="MS Mincho"/>
          <w:lang w:val="en-US"/>
        </w:rPr>
        <w:t>Narodne</w:t>
      </w:r>
      <w:proofErr w:type="spellEnd"/>
      <w:r w:rsidR="00B80E2C" w:rsidRPr="00F937CA">
        <w:rPr>
          <w:rFonts w:eastAsia="MS Mincho"/>
          <w:lang w:val="en-US"/>
        </w:rPr>
        <w:t xml:space="preserve"> </w:t>
      </w:r>
      <w:proofErr w:type="spellStart"/>
      <w:r w:rsidR="00B80E2C" w:rsidRPr="00F937CA">
        <w:rPr>
          <w:rFonts w:eastAsia="MS Mincho"/>
          <w:lang w:val="en-US"/>
        </w:rPr>
        <w:t>novine</w:t>
      </w:r>
      <w:proofErr w:type="spellEnd"/>
      <w:r w:rsidR="00B80E2C" w:rsidRPr="00F937CA">
        <w:rPr>
          <w:rFonts w:eastAsia="MS Mincho"/>
          <w:lang w:val="en-US"/>
        </w:rPr>
        <w:t xml:space="preserve">” br. 119/2022; </w:t>
      </w:r>
      <w:proofErr w:type="spellStart"/>
      <w:r w:rsidR="00B80E2C" w:rsidRPr="00F937CA">
        <w:rPr>
          <w:rFonts w:eastAsia="MS Mincho"/>
          <w:lang w:val="en-US"/>
        </w:rPr>
        <w:t>dalje</w:t>
      </w:r>
      <w:proofErr w:type="spellEnd"/>
      <w:r w:rsidR="00B80E2C" w:rsidRPr="00F937CA">
        <w:rPr>
          <w:rFonts w:eastAsia="MS Mincho"/>
          <w:lang w:val="en-US"/>
        </w:rPr>
        <w:t xml:space="preserve"> u </w:t>
      </w:r>
      <w:proofErr w:type="spellStart"/>
      <w:r w:rsidR="00B80E2C" w:rsidRPr="00F937CA">
        <w:rPr>
          <w:rFonts w:eastAsia="MS Mincho"/>
          <w:lang w:val="en-US"/>
        </w:rPr>
        <w:t>tekstu</w:t>
      </w:r>
      <w:proofErr w:type="spellEnd"/>
      <w:r w:rsidR="00B80E2C" w:rsidRPr="00F937CA">
        <w:rPr>
          <w:rFonts w:eastAsia="MS Mincho"/>
          <w:lang w:val="en-US"/>
        </w:rPr>
        <w:t xml:space="preserve">: </w:t>
      </w:r>
      <w:proofErr w:type="spellStart"/>
      <w:r w:rsidR="00B80E2C" w:rsidRPr="00F937CA">
        <w:rPr>
          <w:rFonts w:eastAsia="MS Mincho"/>
          <w:lang w:val="en-US"/>
        </w:rPr>
        <w:t>Zakon</w:t>
      </w:r>
      <w:proofErr w:type="spellEnd"/>
      <w:r w:rsidR="00B80E2C" w:rsidRPr="00F937CA">
        <w:rPr>
          <w:rFonts w:eastAsia="MS Mincho"/>
          <w:lang w:val="en-US"/>
        </w:rPr>
        <w:t xml:space="preserve">) </w:t>
      </w:r>
      <w:proofErr w:type="spellStart"/>
      <w:r w:rsidR="00B80E2C" w:rsidRPr="00F937CA">
        <w:rPr>
          <w:rFonts w:eastAsia="MS Mincho"/>
          <w:lang w:val="en-US"/>
        </w:rPr>
        <w:t>i</w:t>
      </w:r>
      <w:proofErr w:type="spellEnd"/>
      <w:r w:rsidR="00B80E2C" w:rsidRPr="00F937CA">
        <w:rPr>
          <w:rFonts w:eastAsia="MS Mincho"/>
          <w:lang w:val="en-US"/>
        </w:rPr>
        <w:t xml:space="preserve"> </w:t>
      </w:r>
      <w:proofErr w:type="spellStart"/>
      <w:r w:rsidR="00B80E2C" w:rsidRPr="00F937CA">
        <w:rPr>
          <w:rFonts w:eastAsia="MS Mincho"/>
          <w:lang w:val="en-US"/>
        </w:rPr>
        <w:t>Uredbom</w:t>
      </w:r>
      <w:proofErr w:type="spellEnd"/>
      <w:r w:rsidR="00B80E2C" w:rsidRPr="00F937CA">
        <w:rPr>
          <w:rFonts w:eastAsia="MS Mincho"/>
          <w:lang w:val="en-US"/>
        </w:rPr>
        <w:t xml:space="preserve"> o </w:t>
      </w:r>
      <w:proofErr w:type="spellStart"/>
      <w:r w:rsidR="00B80E2C" w:rsidRPr="00F937CA">
        <w:rPr>
          <w:rFonts w:eastAsia="MS Mincho"/>
          <w:lang w:val="en-US"/>
        </w:rPr>
        <w:t>programskom</w:t>
      </w:r>
      <w:proofErr w:type="spellEnd"/>
      <w:r w:rsidR="00B80E2C" w:rsidRPr="00F937CA">
        <w:rPr>
          <w:rFonts w:eastAsia="MS Mincho"/>
          <w:lang w:val="en-US"/>
        </w:rPr>
        <w:t xml:space="preserve"> </w:t>
      </w:r>
      <w:proofErr w:type="spellStart"/>
      <w:r w:rsidR="00B80E2C" w:rsidRPr="00F937CA">
        <w:rPr>
          <w:rFonts w:eastAsia="MS Mincho"/>
          <w:lang w:val="en-US"/>
        </w:rPr>
        <w:t>financiranju</w:t>
      </w:r>
      <w:proofErr w:type="spellEnd"/>
      <w:r w:rsidR="00B80E2C" w:rsidRPr="00F937CA">
        <w:rPr>
          <w:rFonts w:eastAsia="MS Mincho"/>
          <w:lang w:val="en-US"/>
        </w:rPr>
        <w:t xml:space="preserve"> </w:t>
      </w:r>
      <w:proofErr w:type="spellStart"/>
      <w:r w:rsidR="00B80E2C" w:rsidRPr="00F937CA">
        <w:rPr>
          <w:rFonts w:eastAsia="MS Mincho"/>
          <w:lang w:val="en-US"/>
        </w:rPr>
        <w:t>javnih</w:t>
      </w:r>
      <w:proofErr w:type="spellEnd"/>
      <w:r w:rsidR="00B80E2C" w:rsidRPr="00F937CA">
        <w:rPr>
          <w:rFonts w:eastAsia="MS Mincho"/>
          <w:lang w:val="en-US"/>
        </w:rPr>
        <w:t xml:space="preserve"> </w:t>
      </w:r>
      <w:proofErr w:type="spellStart"/>
      <w:r w:rsidR="00B80E2C" w:rsidRPr="00F937CA">
        <w:rPr>
          <w:rFonts w:eastAsia="MS Mincho"/>
          <w:lang w:val="en-US"/>
        </w:rPr>
        <w:t>visokih</w:t>
      </w:r>
      <w:proofErr w:type="spellEnd"/>
      <w:r w:rsidR="00B80E2C" w:rsidRPr="00F937CA">
        <w:rPr>
          <w:rFonts w:eastAsia="MS Mincho"/>
          <w:lang w:val="en-US"/>
        </w:rPr>
        <w:t xml:space="preserve"> </w:t>
      </w:r>
      <w:proofErr w:type="spellStart"/>
      <w:r w:rsidR="00B80E2C" w:rsidRPr="00F937CA">
        <w:rPr>
          <w:rFonts w:eastAsia="MS Mincho"/>
          <w:lang w:val="en-US"/>
        </w:rPr>
        <w:t>učilišta</w:t>
      </w:r>
      <w:proofErr w:type="spellEnd"/>
      <w:r w:rsidR="00B80E2C" w:rsidRPr="00F937CA">
        <w:rPr>
          <w:rFonts w:eastAsia="MS Mincho"/>
          <w:lang w:val="en-US"/>
        </w:rPr>
        <w:t xml:space="preserve"> </w:t>
      </w:r>
      <w:proofErr w:type="spellStart"/>
      <w:r w:rsidR="00B80E2C" w:rsidRPr="00F937CA">
        <w:rPr>
          <w:rFonts w:eastAsia="MS Mincho"/>
          <w:lang w:val="en-US"/>
        </w:rPr>
        <w:t>i</w:t>
      </w:r>
      <w:proofErr w:type="spellEnd"/>
      <w:r w:rsidR="00B80E2C" w:rsidRPr="00F937CA">
        <w:rPr>
          <w:rFonts w:eastAsia="MS Mincho"/>
          <w:lang w:val="en-US"/>
        </w:rPr>
        <w:t xml:space="preserve"> </w:t>
      </w:r>
      <w:proofErr w:type="spellStart"/>
      <w:r w:rsidR="00B80E2C" w:rsidRPr="00F937CA">
        <w:rPr>
          <w:rFonts w:eastAsia="MS Mincho"/>
          <w:lang w:val="en-US"/>
        </w:rPr>
        <w:t>javnih</w:t>
      </w:r>
      <w:proofErr w:type="spellEnd"/>
      <w:r w:rsidR="00B80E2C" w:rsidRPr="00F937CA">
        <w:rPr>
          <w:rFonts w:eastAsia="MS Mincho"/>
          <w:lang w:val="en-US"/>
        </w:rPr>
        <w:t xml:space="preserve"> </w:t>
      </w:r>
      <w:proofErr w:type="spellStart"/>
      <w:r w:rsidR="00B80E2C" w:rsidRPr="00F937CA">
        <w:rPr>
          <w:rFonts w:eastAsia="MS Mincho"/>
          <w:lang w:val="en-US"/>
        </w:rPr>
        <w:t>znanstvenih</w:t>
      </w:r>
      <w:proofErr w:type="spellEnd"/>
      <w:r w:rsidR="00B80E2C" w:rsidRPr="00F937CA">
        <w:rPr>
          <w:rFonts w:eastAsia="MS Mincho"/>
          <w:lang w:val="en-US"/>
        </w:rPr>
        <w:t xml:space="preserve"> </w:t>
      </w:r>
      <w:proofErr w:type="spellStart"/>
      <w:r w:rsidR="00B80E2C" w:rsidRPr="00F937CA">
        <w:rPr>
          <w:rFonts w:eastAsia="MS Mincho"/>
          <w:lang w:val="en-US"/>
        </w:rPr>
        <w:t>instituta</w:t>
      </w:r>
      <w:proofErr w:type="spellEnd"/>
      <w:r w:rsidR="00B80E2C" w:rsidRPr="00F937CA">
        <w:rPr>
          <w:rFonts w:eastAsia="MS Mincho"/>
          <w:lang w:val="en-US"/>
        </w:rPr>
        <w:t xml:space="preserve"> u </w:t>
      </w:r>
      <w:proofErr w:type="spellStart"/>
      <w:r w:rsidR="00B80E2C" w:rsidRPr="00F937CA">
        <w:rPr>
          <w:rFonts w:eastAsia="MS Mincho"/>
          <w:lang w:val="en-US"/>
        </w:rPr>
        <w:t>Republici</w:t>
      </w:r>
      <w:proofErr w:type="spellEnd"/>
      <w:r w:rsidR="00B80E2C" w:rsidRPr="00F937CA">
        <w:rPr>
          <w:rFonts w:eastAsia="MS Mincho"/>
          <w:lang w:val="en-US"/>
        </w:rPr>
        <w:t xml:space="preserve"> </w:t>
      </w:r>
      <w:proofErr w:type="spellStart"/>
      <w:r w:rsidR="00B80E2C" w:rsidRPr="00F937CA">
        <w:rPr>
          <w:rFonts w:eastAsia="MS Mincho"/>
          <w:lang w:val="en-US"/>
        </w:rPr>
        <w:t>Hrvatskoj</w:t>
      </w:r>
      <w:proofErr w:type="spellEnd"/>
      <w:r w:rsidR="00B80E2C" w:rsidRPr="00F937CA">
        <w:rPr>
          <w:rFonts w:eastAsia="MS Mincho"/>
          <w:lang w:val="en-US"/>
        </w:rPr>
        <w:t xml:space="preserve"> (“</w:t>
      </w:r>
      <w:proofErr w:type="spellStart"/>
      <w:r w:rsidR="00B80E2C" w:rsidRPr="00F937CA">
        <w:rPr>
          <w:rFonts w:eastAsia="MS Mincho"/>
          <w:lang w:val="en-US"/>
        </w:rPr>
        <w:t>Narodne</w:t>
      </w:r>
      <w:proofErr w:type="spellEnd"/>
      <w:r w:rsidR="00B80E2C" w:rsidRPr="00F937CA">
        <w:rPr>
          <w:rFonts w:eastAsia="MS Mincho"/>
          <w:lang w:val="en-US"/>
        </w:rPr>
        <w:t xml:space="preserve"> </w:t>
      </w:r>
      <w:proofErr w:type="spellStart"/>
      <w:r w:rsidR="00B80E2C" w:rsidRPr="00F937CA">
        <w:rPr>
          <w:rFonts w:eastAsia="MS Mincho"/>
          <w:lang w:val="en-US"/>
        </w:rPr>
        <w:t>novine</w:t>
      </w:r>
      <w:proofErr w:type="spellEnd"/>
      <w:r w:rsidR="00B80E2C" w:rsidRPr="00F937CA">
        <w:rPr>
          <w:rFonts w:eastAsia="MS Mincho"/>
          <w:lang w:val="en-US"/>
        </w:rPr>
        <w:t xml:space="preserve">” br. 78/2023; </w:t>
      </w:r>
      <w:proofErr w:type="spellStart"/>
      <w:r w:rsidR="00B80E2C" w:rsidRPr="00F937CA">
        <w:rPr>
          <w:rFonts w:eastAsia="MS Mincho"/>
          <w:lang w:val="en-US"/>
        </w:rPr>
        <w:t>dalje</w:t>
      </w:r>
      <w:proofErr w:type="spellEnd"/>
      <w:r w:rsidR="00B80E2C" w:rsidRPr="00F937CA">
        <w:rPr>
          <w:rFonts w:eastAsia="MS Mincho"/>
          <w:lang w:val="en-US"/>
        </w:rPr>
        <w:t xml:space="preserve"> u </w:t>
      </w:r>
      <w:proofErr w:type="spellStart"/>
      <w:r w:rsidR="00B80E2C" w:rsidRPr="00F937CA">
        <w:rPr>
          <w:rFonts w:eastAsia="MS Mincho"/>
          <w:lang w:val="en-US"/>
        </w:rPr>
        <w:t>tekstu</w:t>
      </w:r>
      <w:proofErr w:type="spellEnd"/>
      <w:r w:rsidR="00B80E2C" w:rsidRPr="00F937CA">
        <w:rPr>
          <w:rFonts w:eastAsia="MS Mincho"/>
          <w:lang w:val="en-US"/>
        </w:rPr>
        <w:t xml:space="preserve">: </w:t>
      </w:r>
      <w:proofErr w:type="spellStart"/>
      <w:r w:rsidR="00B80E2C" w:rsidRPr="00F937CA">
        <w:rPr>
          <w:rFonts w:eastAsia="MS Mincho"/>
          <w:lang w:val="en-US"/>
        </w:rPr>
        <w:t>Uredba</w:t>
      </w:r>
      <w:proofErr w:type="spellEnd"/>
      <w:r w:rsidR="00B80E2C" w:rsidRPr="00F937CA">
        <w:rPr>
          <w:rFonts w:eastAsia="MS Mincho"/>
          <w:lang w:val="en-US"/>
        </w:rPr>
        <w:t xml:space="preserve">). </w:t>
      </w:r>
    </w:p>
    <w:p w14:paraId="2142D9F4" w14:textId="77777777" w:rsidR="00F937CA" w:rsidRPr="00F937CA" w:rsidRDefault="00F937CA" w:rsidP="00B80E2C">
      <w:pPr>
        <w:pStyle w:val="ListParagraph"/>
        <w:ind w:left="0"/>
        <w:jc w:val="both"/>
        <w:rPr>
          <w:rFonts w:eastAsia="MS Mincho"/>
          <w:lang w:val="en-US"/>
        </w:rPr>
      </w:pPr>
    </w:p>
    <w:p w14:paraId="12DB28E0" w14:textId="6BF868B7" w:rsidR="00225E0B" w:rsidRPr="00F937CA" w:rsidRDefault="00225E0B" w:rsidP="00F937CA">
      <w:pPr>
        <w:pStyle w:val="ListParagraph"/>
        <w:numPr>
          <w:ilvl w:val="0"/>
          <w:numId w:val="8"/>
        </w:numPr>
        <w:jc w:val="both"/>
        <w:rPr>
          <w:bCs/>
          <w:u w:val="single"/>
        </w:rPr>
      </w:pPr>
      <w:r w:rsidRPr="00F937CA">
        <w:rPr>
          <w:bCs/>
          <w:u w:val="single"/>
        </w:rPr>
        <w:t>Materijalni i drugi slični troškovi poslovanja</w:t>
      </w:r>
    </w:p>
    <w:p w14:paraId="4E5D99F5" w14:textId="4B446167" w:rsidR="00225E0B" w:rsidRPr="00F937CA" w:rsidRDefault="00225E0B" w:rsidP="00225E0B">
      <w:pPr>
        <w:jc w:val="both"/>
        <w:rPr>
          <w:bCs/>
        </w:rPr>
      </w:pPr>
      <w:r w:rsidRPr="00F937CA">
        <w:rPr>
          <w:bCs/>
        </w:rPr>
        <w:t xml:space="preserve">Ova grupa obuhvaća troškove hladnog pogona (energija, komunalne usluge i dr.), tekuće i investicijsko održavanje znanstvene infrastrukture, troškove sistematskog pregleda, </w:t>
      </w:r>
      <w:r w:rsidR="001D1516" w:rsidRPr="00F937CA">
        <w:rPr>
          <w:bCs/>
        </w:rPr>
        <w:t xml:space="preserve">obavljanje znanstvene i stručne djelatnosti, studentski standard, izdavačku djelatnost </w:t>
      </w:r>
      <w:r w:rsidRPr="00F937CA">
        <w:rPr>
          <w:bCs/>
        </w:rPr>
        <w:t>i naknadu za invalidnost. Sredstva za 202</w:t>
      </w:r>
      <w:r w:rsidR="00B80E2C" w:rsidRPr="00F937CA">
        <w:rPr>
          <w:bCs/>
        </w:rPr>
        <w:t>6</w:t>
      </w:r>
      <w:r w:rsidRPr="00F937CA">
        <w:rPr>
          <w:bCs/>
        </w:rPr>
        <w:t xml:space="preserve">.g. planirana su u </w:t>
      </w:r>
      <w:r w:rsidRPr="00D12E34">
        <w:rPr>
          <w:bCs/>
        </w:rPr>
        <w:t xml:space="preserve">iznosu od </w:t>
      </w:r>
      <w:r w:rsidR="00D12E34" w:rsidRPr="00D12E34">
        <w:rPr>
          <w:bCs/>
        </w:rPr>
        <w:t>863.966</w:t>
      </w:r>
      <w:r w:rsidRPr="00D12E34">
        <w:rPr>
          <w:bCs/>
        </w:rPr>
        <w:t xml:space="preserve"> €. </w:t>
      </w:r>
    </w:p>
    <w:p w14:paraId="4F221FA6" w14:textId="77777777" w:rsidR="00F937CA" w:rsidRPr="00F937CA" w:rsidRDefault="00F937CA" w:rsidP="00225E0B">
      <w:pPr>
        <w:jc w:val="both"/>
        <w:rPr>
          <w:bCs/>
        </w:rPr>
      </w:pPr>
    </w:p>
    <w:p w14:paraId="77E831FA" w14:textId="77777777" w:rsidR="00225E0B" w:rsidRPr="00F937CA" w:rsidRDefault="00225E0B" w:rsidP="00225E0B">
      <w:pPr>
        <w:numPr>
          <w:ilvl w:val="0"/>
          <w:numId w:val="5"/>
        </w:numPr>
        <w:jc w:val="both"/>
        <w:rPr>
          <w:b/>
          <w:bCs/>
        </w:rPr>
      </w:pPr>
      <w:r w:rsidRPr="00F937CA">
        <w:rPr>
          <w:b/>
          <w:bCs/>
        </w:rPr>
        <w:t>Razvojna komponenta (dio iz izvora 11)</w:t>
      </w:r>
    </w:p>
    <w:p w14:paraId="21D24C31" w14:textId="1AFC5FAC" w:rsidR="00225E0B" w:rsidRPr="00F937CA" w:rsidRDefault="00225E0B" w:rsidP="00225E0B">
      <w:pPr>
        <w:jc w:val="both"/>
        <w:rPr>
          <w:bCs/>
        </w:rPr>
      </w:pPr>
      <w:r w:rsidRPr="00F937CA">
        <w:rPr>
          <w:bCs/>
        </w:rPr>
        <w:t xml:space="preserve">U sklopu dijela razvojne komponenta koje se financira iz izvora 11- Opći prihodi primici, planirani su troškovi organiziranja međunarodnih konferencija, </w:t>
      </w:r>
      <w:r w:rsidR="001D1516" w:rsidRPr="00F937CA">
        <w:rPr>
          <w:bCs/>
        </w:rPr>
        <w:t xml:space="preserve">edukacija u vezi prijave i realizacije kompetitivnih projekata, </w:t>
      </w:r>
      <w:r w:rsidR="003331FA" w:rsidRPr="00F937CA">
        <w:rPr>
          <w:bCs/>
        </w:rPr>
        <w:t>ustrojavanje ureda za projekte i transfer tehnologije, ustrojavanje odjela za potporu studentima, razvoj karijere i cjeloživotno obrazovanje, ustrojav</w:t>
      </w:r>
      <w:r w:rsidR="00F937CA" w:rsidRPr="00F937CA">
        <w:rPr>
          <w:bCs/>
        </w:rPr>
        <w:t>anje odjela za međunarodnu surad</w:t>
      </w:r>
      <w:r w:rsidR="003331FA" w:rsidRPr="00F937CA">
        <w:rPr>
          <w:bCs/>
        </w:rPr>
        <w:t xml:space="preserve">nju, internacionalizacija znanstvenih aktivnosti kroz suradnju s gostujućim nastavnicima, modernizacije istraživačke infrastrukture u svrhu podizanja konkurentnosti istraživanja, organiziranja inkubatora ideja – dana otvorenih vrata Stomatološkog fakulteta za poslovne partnere, osuvremenjivanje metoda poučavanja, stjecanja i provjere znanja te jačanje nastavničkih kompetencija nastavnika Stomatološkog fakulteta, unaprjeđenje kliničke nastave s pacijentima, </w:t>
      </w:r>
      <w:r w:rsidR="003331FA" w:rsidRPr="00F937CA">
        <w:rPr>
          <w:bCs/>
        </w:rPr>
        <w:lastRenderedPageBreak/>
        <w:t>digitalizacija i unaprjeđenje laboratorijske nastave iz kliničkih stomatoloških predmeta, obnova informatičke infrastrukture za studente i zaposlenike u sklopu digitalizacije fakulteta</w:t>
      </w:r>
      <w:r w:rsidRPr="00F937CA">
        <w:rPr>
          <w:bCs/>
        </w:rPr>
        <w:t xml:space="preserve"> kao i dio troškova vezanih uz izgradnju, rekonstrukciju, adaptaciju i opremanje objekata</w:t>
      </w:r>
      <w:r w:rsidR="00F937CA" w:rsidRPr="00F937CA">
        <w:rPr>
          <w:bCs/>
        </w:rPr>
        <w:t>.</w:t>
      </w:r>
      <w:r w:rsidRPr="00F937CA">
        <w:rPr>
          <w:bCs/>
        </w:rPr>
        <w:t xml:space="preserve"> Ukupno je planirano troškova </w:t>
      </w:r>
      <w:r w:rsidRPr="00D12E34">
        <w:rPr>
          <w:bCs/>
        </w:rPr>
        <w:t xml:space="preserve">u visini </w:t>
      </w:r>
      <w:r w:rsidR="00D12E34" w:rsidRPr="00D12E34">
        <w:rPr>
          <w:bCs/>
        </w:rPr>
        <w:t>251.992</w:t>
      </w:r>
      <w:r w:rsidRPr="00D12E34">
        <w:rPr>
          <w:bCs/>
        </w:rPr>
        <w:t xml:space="preserve"> </w:t>
      </w:r>
      <w:r w:rsidRPr="00F937CA">
        <w:rPr>
          <w:bCs/>
        </w:rPr>
        <w:t>€.</w:t>
      </w:r>
    </w:p>
    <w:p w14:paraId="4B5BE035" w14:textId="77777777" w:rsidR="00F937CA" w:rsidRPr="00F937CA" w:rsidRDefault="00F937CA" w:rsidP="00225E0B">
      <w:pPr>
        <w:jc w:val="both"/>
        <w:rPr>
          <w:bCs/>
        </w:rPr>
      </w:pPr>
    </w:p>
    <w:p w14:paraId="1BC1BDC2" w14:textId="77777777" w:rsidR="00225E0B" w:rsidRPr="00F937CA" w:rsidRDefault="00225E0B" w:rsidP="00225E0B">
      <w:pPr>
        <w:numPr>
          <w:ilvl w:val="0"/>
          <w:numId w:val="5"/>
        </w:numPr>
        <w:jc w:val="both"/>
        <w:rPr>
          <w:b/>
          <w:bCs/>
        </w:rPr>
      </w:pPr>
      <w:r w:rsidRPr="00F937CA">
        <w:rPr>
          <w:b/>
          <w:bCs/>
        </w:rPr>
        <w:t>Izvedbena komponenta (dio iz izvora 11)</w:t>
      </w:r>
    </w:p>
    <w:p w14:paraId="729979AA" w14:textId="50FF07A7" w:rsidR="00225E0B" w:rsidRPr="00F937CA" w:rsidRDefault="00225E0B" w:rsidP="00225E0B">
      <w:pPr>
        <w:jc w:val="both"/>
        <w:rPr>
          <w:bCs/>
        </w:rPr>
      </w:pPr>
      <w:r w:rsidRPr="00F937CA">
        <w:rPr>
          <w:bCs/>
        </w:rPr>
        <w:t xml:space="preserve">Dio izvedbene komponente na teret izvora 11 obuhvaća troškove </w:t>
      </w:r>
      <w:r w:rsidR="00F937CA" w:rsidRPr="00F937CA">
        <w:rPr>
          <w:bCs/>
        </w:rPr>
        <w:t>popularizacije</w:t>
      </w:r>
      <w:r w:rsidRPr="00F937CA">
        <w:rPr>
          <w:bCs/>
        </w:rPr>
        <w:t xml:space="preserve"> znanosti u iznosu od </w:t>
      </w:r>
      <w:r w:rsidR="001D1516" w:rsidRPr="00F937CA">
        <w:rPr>
          <w:bCs/>
        </w:rPr>
        <w:t>1.250</w:t>
      </w:r>
      <w:r w:rsidRPr="00F937CA">
        <w:rPr>
          <w:bCs/>
        </w:rPr>
        <w:t xml:space="preserve"> €.</w:t>
      </w:r>
    </w:p>
    <w:p w14:paraId="0C8D5406" w14:textId="77777777" w:rsidR="009E70A4" w:rsidRPr="00F937CA" w:rsidRDefault="009E70A4" w:rsidP="00C11138">
      <w:pPr>
        <w:jc w:val="both"/>
        <w:rPr>
          <w:b/>
          <w:bCs/>
        </w:rPr>
      </w:pPr>
    </w:p>
    <w:p w14:paraId="0242C63D" w14:textId="49267A68" w:rsidR="000B0038" w:rsidRPr="00F937CA" w:rsidRDefault="00F00594" w:rsidP="00225E0B">
      <w:pPr>
        <w:spacing w:after="160"/>
        <w:jc w:val="both"/>
        <w:rPr>
          <w:b/>
          <w:bCs/>
        </w:rPr>
      </w:pPr>
      <w:r>
        <w:rPr>
          <w:b/>
          <w:bCs/>
        </w:rPr>
        <w:t>A679136</w:t>
      </w:r>
      <w:r w:rsidR="00A124C2" w:rsidRPr="00A124C2">
        <w:rPr>
          <w:b/>
          <w:bCs/>
        </w:rPr>
        <w:t xml:space="preserve"> </w:t>
      </w:r>
      <w:r>
        <w:rPr>
          <w:b/>
          <w:bCs/>
        </w:rPr>
        <w:t xml:space="preserve">Razvoj sustava programskih sporazuma za financiranje sveučilišta i znanstvenih instituta usmjerenih na inovacije, istraživanje i razvoj – NPOO (C3.2. R1-I1) </w:t>
      </w:r>
      <w:r w:rsidR="00FA019F">
        <w:rPr>
          <w:b/>
          <w:bCs/>
        </w:rPr>
        <w:t xml:space="preserve"> </w:t>
      </w:r>
    </w:p>
    <w:tbl>
      <w:tblPr>
        <w:tblW w:w="9639" w:type="dxa"/>
        <w:tblInd w:w="108" w:type="dxa"/>
        <w:tblLook w:val="04A0" w:firstRow="1" w:lastRow="0" w:firstColumn="1" w:lastColumn="0" w:noHBand="0" w:noVBand="1"/>
      </w:tblPr>
      <w:tblGrid>
        <w:gridCol w:w="1217"/>
        <w:gridCol w:w="1314"/>
        <w:gridCol w:w="1476"/>
        <w:gridCol w:w="1476"/>
        <w:gridCol w:w="1476"/>
        <w:gridCol w:w="1476"/>
        <w:gridCol w:w="1204"/>
      </w:tblGrid>
      <w:tr w:rsidR="000B0038" w:rsidRPr="00A124C2" w14:paraId="499BAA98" w14:textId="77777777" w:rsidTr="00B16B32">
        <w:trPr>
          <w:trHeight w:val="900"/>
        </w:trPr>
        <w:tc>
          <w:tcPr>
            <w:tcW w:w="121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6BBCBEE" w14:textId="5CF36FAD" w:rsidR="000B0038" w:rsidRPr="00E92817" w:rsidRDefault="000B0038" w:rsidP="00C11138">
            <w:pPr>
              <w:jc w:val="both"/>
            </w:pPr>
          </w:p>
        </w:tc>
        <w:tc>
          <w:tcPr>
            <w:tcW w:w="1314" w:type="dxa"/>
            <w:tcBorders>
              <w:top w:val="single" w:sz="4" w:space="0" w:color="auto"/>
              <w:left w:val="nil"/>
              <w:bottom w:val="single" w:sz="4" w:space="0" w:color="auto"/>
              <w:right w:val="single" w:sz="4" w:space="0" w:color="auto"/>
            </w:tcBorders>
            <w:shd w:val="clear" w:color="000000" w:fill="D9D9D9"/>
            <w:vAlign w:val="center"/>
            <w:hideMark/>
          </w:tcPr>
          <w:p w14:paraId="7D8B4506" w14:textId="4E2D9DBD" w:rsidR="000B0038" w:rsidRPr="00E92817" w:rsidRDefault="00D40634" w:rsidP="00C11138">
            <w:pPr>
              <w:jc w:val="both"/>
            </w:pPr>
            <w:r w:rsidRPr="00E92817">
              <w:t>Izvršenje 2024</w:t>
            </w:r>
            <w:r w:rsidR="000B0038" w:rsidRPr="00E92817">
              <w:t>.</w:t>
            </w:r>
          </w:p>
        </w:tc>
        <w:tc>
          <w:tcPr>
            <w:tcW w:w="1476" w:type="dxa"/>
            <w:tcBorders>
              <w:top w:val="single" w:sz="4" w:space="0" w:color="auto"/>
              <w:left w:val="nil"/>
              <w:bottom w:val="single" w:sz="4" w:space="0" w:color="auto"/>
              <w:right w:val="single" w:sz="4" w:space="0" w:color="auto"/>
            </w:tcBorders>
            <w:shd w:val="clear" w:color="000000" w:fill="D9D9D9"/>
            <w:vAlign w:val="center"/>
            <w:hideMark/>
          </w:tcPr>
          <w:p w14:paraId="62E3E6AC" w14:textId="5372CBEC" w:rsidR="000B0038" w:rsidRPr="00E92817" w:rsidRDefault="00D40634" w:rsidP="00C11138">
            <w:pPr>
              <w:jc w:val="both"/>
            </w:pPr>
            <w:r w:rsidRPr="00E92817">
              <w:t>Plan 2025</w:t>
            </w:r>
            <w:r w:rsidR="000B0038" w:rsidRPr="00E92817">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14:paraId="5C15391D" w14:textId="7CE29B97" w:rsidR="000B0038" w:rsidRPr="00777B0C" w:rsidRDefault="00D40634" w:rsidP="00C11138">
            <w:pPr>
              <w:jc w:val="both"/>
            </w:pPr>
            <w:r w:rsidRPr="00777B0C">
              <w:t>Plan 2026</w:t>
            </w:r>
            <w:r w:rsidR="000B0038" w:rsidRPr="00777B0C">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14:paraId="353CE534" w14:textId="3194D946" w:rsidR="000B0038" w:rsidRPr="00777B0C" w:rsidRDefault="00D40634" w:rsidP="00C11138">
            <w:pPr>
              <w:jc w:val="both"/>
            </w:pPr>
            <w:r w:rsidRPr="00777B0C">
              <w:t>Plan 2027</w:t>
            </w:r>
            <w:r w:rsidR="000B0038" w:rsidRPr="00777B0C">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14:paraId="7C31C34B" w14:textId="54400E07" w:rsidR="000B0038" w:rsidRPr="00777B0C" w:rsidRDefault="00510879" w:rsidP="00C11138">
            <w:pPr>
              <w:jc w:val="both"/>
            </w:pPr>
            <w:r w:rsidRPr="00777B0C">
              <w:t>Plan 202</w:t>
            </w:r>
            <w:r w:rsidR="00D40634" w:rsidRPr="00777B0C">
              <w:t>8</w:t>
            </w:r>
            <w:r w:rsidR="000B0038" w:rsidRPr="00777B0C">
              <w:t>.</w:t>
            </w:r>
          </w:p>
        </w:tc>
        <w:tc>
          <w:tcPr>
            <w:tcW w:w="1204" w:type="dxa"/>
            <w:tcBorders>
              <w:top w:val="single" w:sz="4" w:space="0" w:color="auto"/>
              <w:left w:val="nil"/>
              <w:bottom w:val="single" w:sz="4" w:space="0" w:color="auto"/>
              <w:right w:val="single" w:sz="4" w:space="0" w:color="auto"/>
            </w:tcBorders>
            <w:shd w:val="clear" w:color="000000" w:fill="D9D9D9"/>
            <w:noWrap/>
            <w:vAlign w:val="center"/>
            <w:hideMark/>
          </w:tcPr>
          <w:p w14:paraId="1C1E186C" w14:textId="6730F181" w:rsidR="000B0038" w:rsidRPr="00E92817" w:rsidRDefault="000B0038" w:rsidP="00C11138">
            <w:pPr>
              <w:jc w:val="both"/>
            </w:pPr>
            <w:r w:rsidRPr="00E92817">
              <w:t>Indeks 2</w:t>
            </w:r>
            <w:r w:rsidR="00D40634" w:rsidRPr="00E92817">
              <w:t>6./25</w:t>
            </w:r>
            <w:r w:rsidRPr="00E92817">
              <w:t>.</w:t>
            </w:r>
          </w:p>
        </w:tc>
      </w:tr>
      <w:tr w:rsidR="00F56E8E" w:rsidRPr="00A124C2" w14:paraId="4C0B30EE" w14:textId="77777777" w:rsidTr="00FF6AD4">
        <w:trPr>
          <w:trHeight w:val="300"/>
        </w:trPr>
        <w:tc>
          <w:tcPr>
            <w:tcW w:w="1217" w:type="dxa"/>
            <w:tcBorders>
              <w:top w:val="nil"/>
              <w:left w:val="single" w:sz="4" w:space="0" w:color="auto"/>
              <w:bottom w:val="single" w:sz="4" w:space="0" w:color="auto"/>
              <w:right w:val="single" w:sz="4" w:space="0" w:color="auto"/>
            </w:tcBorders>
            <w:shd w:val="clear" w:color="auto" w:fill="auto"/>
            <w:vAlign w:val="bottom"/>
            <w:hideMark/>
          </w:tcPr>
          <w:p w14:paraId="73EC6E5E" w14:textId="64F87960" w:rsidR="00F56E8E" w:rsidRPr="00E92817" w:rsidRDefault="00F56E8E" w:rsidP="00C11138">
            <w:pPr>
              <w:jc w:val="both"/>
            </w:pPr>
            <w:r w:rsidRPr="00E92817">
              <w:t>A</w:t>
            </w:r>
            <w:r w:rsidR="00F00594">
              <w:t>679136</w:t>
            </w:r>
          </w:p>
        </w:tc>
        <w:tc>
          <w:tcPr>
            <w:tcW w:w="1314" w:type="dxa"/>
            <w:tcBorders>
              <w:top w:val="nil"/>
              <w:left w:val="nil"/>
              <w:bottom w:val="single" w:sz="4" w:space="0" w:color="auto"/>
              <w:right w:val="single" w:sz="4" w:space="0" w:color="auto"/>
            </w:tcBorders>
            <w:shd w:val="clear" w:color="auto" w:fill="auto"/>
            <w:noWrap/>
            <w:vAlign w:val="bottom"/>
          </w:tcPr>
          <w:p w14:paraId="50531498" w14:textId="2449A0C0" w:rsidR="00F56E8E" w:rsidRPr="00E92817" w:rsidRDefault="00E92817" w:rsidP="00C11138">
            <w:pPr>
              <w:jc w:val="both"/>
            </w:pPr>
            <w:r w:rsidRPr="00E92817">
              <w:t>-</w:t>
            </w:r>
          </w:p>
        </w:tc>
        <w:tc>
          <w:tcPr>
            <w:tcW w:w="1476" w:type="dxa"/>
            <w:tcBorders>
              <w:top w:val="nil"/>
              <w:left w:val="nil"/>
              <w:bottom w:val="single" w:sz="4" w:space="0" w:color="auto"/>
              <w:right w:val="single" w:sz="4" w:space="0" w:color="auto"/>
            </w:tcBorders>
            <w:shd w:val="clear" w:color="auto" w:fill="auto"/>
            <w:noWrap/>
            <w:vAlign w:val="bottom"/>
          </w:tcPr>
          <w:p w14:paraId="1E49DC38" w14:textId="6A880A04" w:rsidR="00F56E8E" w:rsidRPr="00E92817" w:rsidRDefault="00E92817" w:rsidP="00C11138">
            <w:pPr>
              <w:jc w:val="both"/>
            </w:pPr>
            <w:r w:rsidRPr="00E92817">
              <w:t>-</w:t>
            </w:r>
          </w:p>
        </w:tc>
        <w:tc>
          <w:tcPr>
            <w:tcW w:w="1476" w:type="dxa"/>
            <w:tcBorders>
              <w:top w:val="nil"/>
              <w:left w:val="nil"/>
              <w:bottom w:val="single" w:sz="4" w:space="0" w:color="auto"/>
              <w:right w:val="single" w:sz="4" w:space="0" w:color="auto"/>
            </w:tcBorders>
            <w:shd w:val="clear" w:color="auto" w:fill="auto"/>
            <w:noWrap/>
            <w:vAlign w:val="bottom"/>
          </w:tcPr>
          <w:p w14:paraId="12921162" w14:textId="6C717E4F" w:rsidR="00F56E8E" w:rsidRPr="00D12E34" w:rsidRDefault="00D12E34" w:rsidP="00C11138">
            <w:pPr>
              <w:jc w:val="both"/>
            </w:pPr>
            <w:r w:rsidRPr="00D12E34">
              <w:t>315.847</w:t>
            </w:r>
          </w:p>
        </w:tc>
        <w:tc>
          <w:tcPr>
            <w:tcW w:w="1476" w:type="dxa"/>
            <w:tcBorders>
              <w:top w:val="nil"/>
              <w:left w:val="nil"/>
              <w:bottom w:val="single" w:sz="4" w:space="0" w:color="auto"/>
              <w:right w:val="single" w:sz="4" w:space="0" w:color="auto"/>
            </w:tcBorders>
            <w:shd w:val="clear" w:color="auto" w:fill="auto"/>
            <w:noWrap/>
          </w:tcPr>
          <w:p w14:paraId="08B1A98E" w14:textId="70D97D9A" w:rsidR="00F56E8E" w:rsidRPr="00D12E34" w:rsidRDefault="00D12E34" w:rsidP="00C11138">
            <w:r w:rsidRPr="00D12E34">
              <w:t>315.847</w:t>
            </w:r>
          </w:p>
        </w:tc>
        <w:tc>
          <w:tcPr>
            <w:tcW w:w="1476" w:type="dxa"/>
            <w:tcBorders>
              <w:top w:val="nil"/>
              <w:left w:val="nil"/>
              <w:bottom w:val="single" w:sz="4" w:space="0" w:color="auto"/>
              <w:right w:val="single" w:sz="4" w:space="0" w:color="auto"/>
            </w:tcBorders>
            <w:shd w:val="clear" w:color="auto" w:fill="auto"/>
            <w:noWrap/>
          </w:tcPr>
          <w:p w14:paraId="22C274F8" w14:textId="12100DD0" w:rsidR="00F56E8E" w:rsidRPr="00D12E34" w:rsidRDefault="00D12E34" w:rsidP="00C11138">
            <w:r w:rsidRPr="00D12E34">
              <w:t>315.847</w:t>
            </w:r>
          </w:p>
        </w:tc>
        <w:tc>
          <w:tcPr>
            <w:tcW w:w="1204" w:type="dxa"/>
            <w:tcBorders>
              <w:top w:val="nil"/>
              <w:left w:val="nil"/>
              <w:bottom w:val="single" w:sz="4" w:space="0" w:color="auto"/>
              <w:right w:val="single" w:sz="4" w:space="0" w:color="auto"/>
            </w:tcBorders>
            <w:shd w:val="clear" w:color="auto" w:fill="auto"/>
            <w:noWrap/>
            <w:vAlign w:val="bottom"/>
          </w:tcPr>
          <w:p w14:paraId="190E1368" w14:textId="3C3900CD" w:rsidR="00F56E8E" w:rsidRPr="00E92817" w:rsidRDefault="00E92817" w:rsidP="00C11138">
            <w:pPr>
              <w:jc w:val="both"/>
            </w:pPr>
            <w:r>
              <w:t>-</w:t>
            </w:r>
          </w:p>
        </w:tc>
      </w:tr>
    </w:tbl>
    <w:p w14:paraId="6461047C" w14:textId="77777777" w:rsidR="00302A1B" w:rsidRPr="00A124C2" w:rsidRDefault="00302A1B" w:rsidP="00C11138">
      <w:pPr>
        <w:jc w:val="both"/>
        <w:rPr>
          <w:bCs/>
        </w:rPr>
      </w:pPr>
    </w:p>
    <w:p w14:paraId="3AA0217D" w14:textId="3245AA8C" w:rsidR="00225E0B" w:rsidRPr="002E3B69" w:rsidRDefault="00D12E34" w:rsidP="00225E0B">
      <w:pPr>
        <w:jc w:val="both"/>
        <w:rPr>
          <w:bCs/>
        </w:rPr>
      </w:pPr>
      <w:r>
        <w:rPr>
          <w:b/>
          <w:bCs/>
        </w:rPr>
        <w:t>NPOO znanstveni projekti</w:t>
      </w:r>
      <w:r w:rsidR="00225E0B" w:rsidRPr="002E3B69">
        <w:rPr>
          <w:b/>
          <w:bCs/>
        </w:rPr>
        <w:t xml:space="preserve"> - izvor 581</w:t>
      </w:r>
    </w:p>
    <w:p w14:paraId="0F47D48A" w14:textId="14C10277" w:rsidR="00225E0B" w:rsidRPr="002E3B69" w:rsidRDefault="00225E0B" w:rsidP="00C11138">
      <w:pPr>
        <w:jc w:val="both"/>
        <w:rPr>
          <w:bCs/>
        </w:rPr>
      </w:pPr>
      <w:r w:rsidRPr="002E3B69">
        <w:rPr>
          <w:bCs/>
        </w:rPr>
        <w:t>U sklopu izvora 581 Mehanizam za oporavak i o</w:t>
      </w:r>
      <w:r w:rsidR="00F937CA" w:rsidRPr="002E3B69">
        <w:rPr>
          <w:bCs/>
        </w:rPr>
        <w:t>tpornost planirani su rashodi za 15</w:t>
      </w:r>
      <w:r w:rsidRPr="002E3B69">
        <w:rPr>
          <w:bCs/>
        </w:rPr>
        <w:t xml:space="preserve"> ugovorenih znanstvenih projekata </w:t>
      </w:r>
      <w:r w:rsidR="002E3B69" w:rsidRPr="002E3B69">
        <w:rPr>
          <w:bCs/>
        </w:rPr>
        <w:t xml:space="preserve">iz programskog ugovora za izvedbenu komponentu, </w:t>
      </w:r>
      <w:r w:rsidRPr="002E3B69">
        <w:rPr>
          <w:bCs/>
        </w:rPr>
        <w:t xml:space="preserve">financiranih iz NPOO-a. </w:t>
      </w:r>
    </w:p>
    <w:p w14:paraId="0B0AD372" w14:textId="77777777" w:rsidR="00F937CA" w:rsidRPr="00D12E34" w:rsidRDefault="00F937CA" w:rsidP="00C11138">
      <w:pPr>
        <w:jc w:val="both"/>
        <w:rPr>
          <w:bCs/>
        </w:rPr>
      </w:pPr>
    </w:p>
    <w:p w14:paraId="4AC8D4FA" w14:textId="3CED55F0" w:rsidR="00302A1B" w:rsidRPr="00D12E34" w:rsidRDefault="00302A1B" w:rsidP="00C11138">
      <w:pPr>
        <w:jc w:val="both"/>
        <w:rPr>
          <w:bCs/>
        </w:rPr>
      </w:pPr>
      <w:r w:rsidRPr="00D12E34">
        <w:rPr>
          <w:b/>
          <w:bCs/>
        </w:rPr>
        <w:t>A</w:t>
      </w:r>
      <w:r w:rsidR="00F00594">
        <w:rPr>
          <w:b/>
          <w:bCs/>
        </w:rPr>
        <w:t>679135</w:t>
      </w:r>
      <w:r w:rsidR="00143804" w:rsidRPr="00D12E34">
        <w:rPr>
          <w:b/>
          <w:bCs/>
        </w:rPr>
        <w:t xml:space="preserve"> Programsko i ostalo financiranje</w:t>
      </w:r>
      <w:r w:rsidRPr="00D12E34">
        <w:rPr>
          <w:b/>
          <w:bCs/>
        </w:rPr>
        <w:t xml:space="preserve"> </w:t>
      </w:r>
      <w:r w:rsidR="00F00594">
        <w:rPr>
          <w:b/>
          <w:bCs/>
        </w:rPr>
        <w:t>javnih visokih učilišta -</w:t>
      </w:r>
      <w:r w:rsidRPr="00D12E34">
        <w:rPr>
          <w:b/>
          <w:bCs/>
        </w:rPr>
        <w:t xml:space="preserve"> </w:t>
      </w:r>
      <w:r w:rsidR="00143804" w:rsidRPr="00D12E34">
        <w:rPr>
          <w:b/>
          <w:bCs/>
        </w:rPr>
        <w:t xml:space="preserve">iz evidencijskih </w:t>
      </w:r>
      <w:r w:rsidRPr="00D12E34">
        <w:rPr>
          <w:b/>
          <w:bCs/>
        </w:rPr>
        <w:t>pr</w:t>
      </w:r>
      <w:r w:rsidR="00143804" w:rsidRPr="00D12E34">
        <w:rPr>
          <w:b/>
          <w:bCs/>
        </w:rPr>
        <w:t>ihoda</w:t>
      </w:r>
    </w:p>
    <w:p w14:paraId="159F5423" w14:textId="77777777" w:rsidR="00302A1B" w:rsidRPr="00A124C2" w:rsidRDefault="00302A1B" w:rsidP="00C11138">
      <w:pPr>
        <w:jc w:val="both"/>
        <w:rPr>
          <w:b/>
          <w:bCs/>
        </w:rPr>
      </w:pPr>
    </w:p>
    <w:p w14:paraId="1C6B89F9" w14:textId="12E48C75" w:rsidR="00302A1B" w:rsidRDefault="00302A1B" w:rsidP="00C11138">
      <w:pPr>
        <w:jc w:val="both"/>
        <w:rPr>
          <w:bCs/>
        </w:rPr>
      </w:pPr>
      <w:r w:rsidRPr="00777B0C">
        <w:rPr>
          <w:bCs/>
        </w:rPr>
        <w:t>Zakonske i druge pravne osnove</w:t>
      </w:r>
      <w:r w:rsidR="00F50E74" w:rsidRPr="00777B0C">
        <w:rPr>
          <w:bCs/>
        </w:rPr>
        <w:t>:</w:t>
      </w:r>
    </w:p>
    <w:p w14:paraId="64ED2876" w14:textId="77777777" w:rsidR="00225E0B" w:rsidRDefault="00225E0B" w:rsidP="00C11138">
      <w:pPr>
        <w:jc w:val="both"/>
        <w:rPr>
          <w:bCs/>
        </w:rPr>
      </w:pPr>
    </w:p>
    <w:p w14:paraId="23376BAE" w14:textId="005173A7" w:rsidR="000B0038" w:rsidRDefault="00891A0F" w:rsidP="00C11138">
      <w:pPr>
        <w:jc w:val="both"/>
        <w:rPr>
          <w:bCs/>
        </w:rPr>
      </w:pPr>
      <w:r w:rsidRPr="00891A0F">
        <w:rPr>
          <w:rFonts w:eastAsiaTheme="minorHAnsi"/>
          <w:bCs/>
        </w:rPr>
        <w:t>Zakon o znanstvenoj djelatnosti i visokom obrazovanju</w:t>
      </w:r>
      <w:r w:rsidR="00225E0B">
        <w:rPr>
          <w:rFonts w:eastAsiaTheme="minorHAnsi"/>
          <w:bCs/>
        </w:rPr>
        <w:t xml:space="preserve">, Zakon o javnoj nabavi, Zakon o radu, Zakon o porezu na dodanu vrijednost, </w:t>
      </w:r>
      <w:r w:rsidR="00225E0B" w:rsidRPr="00891A0F">
        <w:rPr>
          <w:rFonts w:eastAsiaTheme="minorHAnsi"/>
          <w:bCs/>
        </w:rPr>
        <w:t xml:space="preserve">Zakon o osiguranju kvalitete u znanosti i visokom obrazovanju </w:t>
      </w:r>
      <w:r w:rsidRPr="00891A0F">
        <w:rPr>
          <w:rFonts w:eastAsiaTheme="minorHAnsi"/>
          <w:bCs/>
        </w:rPr>
        <w:t>Kolektivni ugovor za znanost i visoko obrazovanje</w:t>
      </w:r>
      <w:r w:rsidR="00225E0B">
        <w:rPr>
          <w:rFonts w:eastAsiaTheme="minorHAnsi"/>
          <w:bCs/>
        </w:rPr>
        <w:t xml:space="preserve">, </w:t>
      </w:r>
      <w:r w:rsidR="00225E0B" w:rsidRPr="00A124C2">
        <w:rPr>
          <w:lang w:eastAsia="hr-HR"/>
        </w:rPr>
        <w:t>Pravilnik o planiranju u sustavu proračuna</w:t>
      </w:r>
      <w:r w:rsidR="00225E0B">
        <w:rPr>
          <w:lang w:eastAsia="hr-HR"/>
        </w:rPr>
        <w:t xml:space="preserve">, </w:t>
      </w:r>
      <w:r w:rsidR="00225E0B" w:rsidRPr="00A124C2">
        <w:rPr>
          <w:lang w:eastAsia="hr-HR"/>
        </w:rPr>
        <w:t xml:space="preserve">Pravilnik o proračunskom </w:t>
      </w:r>
      <w:r w:rsidR="00225E0B">
        <w:rPr>
          <w:lang w:eastAsia="hr-HR"/>
        </w:rPr>
        <w:t xml:space="preserve">računovodstvu i Računskom planu, </w:t>
      </w:r>
      <w:r w:rsidR="00225E0B" w:rsidRPr="00A124C2">
        <w:rPr>
          <w:lang w:eastAsia="hr-HR"/>
        </w:rPr>
        <w:t>Pravilnik</w:t>
      </w:r>
      <w:r w:rsidR="00225E0B">
        <w:rPr>
          <w:lang w:eastAsia="hr-HR"/>
        </w:rPr>
        <w:t xml:space="preserve"> o proračunskim klasifikacijama, </w:t>
      </w:r>
      <w:r w:rsidR="00225E0B" w:rsidRPr="00A124C2">
        <w:rPr>
          <w:lang w:eastAsia="hr-HR"/>
        </w:rPr>
        <w:t>Pravilnik o korištenju sredstava Europske un</w:t>
      </w:r>
      <w:r w:rsidR="00225E0B">
        <w:rPr>
          <w:lang w:eastAsia="hr-HR"/>
        </w:rPr>
        <w:t xml:space="preserve">ije, </w:t>
      </w:r>
      <w:r w:rsidR="00225E0B" w:rsidRPr="00777B0C">
        <w:rPr>
          <w:bCs/>
        </w:rPr>
        <w:t>Pravilnik o mjerilima i načinu korištenja vlastitih i namjenskih prihoda,</w:t>
      </w:r>
      <w:r w:rsidR="00225E0B">
        <w:rPr>
          <w:bCs/>
        </w:rPr>
        <w:t xml:space="preserve"> </w:t>
      </w:r>
      <w:r w:rsidR="00225E0B" w:rsidRPr="00777B0C">
        <w:rPr>
          <w:bCs/>
        </w:rPr>
        <w:t>Upute za izradu financijskog plana razdjela 080 – Ministarstvo znanosti</w:t>
      </w:r>
      <w:r w:rsidR="00D12E34">
        <w:rPr>
          <w:bCs/>
        </w:rPr>
        <w:t xml:space="preserve">, obrazovanja i mladih </w:t>
      </w:r>
      <w:r w:rsidR="00225E0B" w:rsidRPr="00A124C2">
        <w:rPr>
          <w:bCs/>
        </w:rPr>
        <w:t>za razdoblje 2026. – 2028.</w:t>
      </w:r>
      <w:r w:rsidR="00225E0B">
        <w:rPr>
          <w:bCs/>
        </w:rPr>
        <w:t xml:space="preserve">, </w:t>
      </w:r>
      <w:r w:rsidR="00225E0B" w:rsidRPr="00A124C2">
        <w:rPr>
          <w:bCs/>
        </w:rPr>
        <w:t xml:space="preserve">Upute za izradu prijedloga financijskog plana Sveučilišta u </w:t>
      </w:r>
      <w:r w:rsidR="00225E0B">
        <w:rPr>
          <w:bCs/>
        </w:rPr>
        <w:t>Zagrebu za razdoblje 2026. – 2028.</w:t>
      </w:r>
    </w:p>
    <w:p w14:paraId="4217CCB3" w14:textId="77777777" w:rsidR="00F937CA" w:rsidRPr="00C11138" w:rsidRDefault="00F937CA" w:rsidP="00C11138">
      <w:pPr>
        <w:jc w:val="both"/>
        <w:rPr>
          <w:bCs/>
        </w:rPr>
      </w:pPr>
    </w:p>
    <w:tbl>
      <w:tblPr>
        <w:tblW w:w="9639" w:type="dxa"/>
        <w:tblInd w:w="108" w:type="dxa"/>
        <w:tblLook w:val="04A0" w:firstRow="1" w:lastRow="0" w:firstColumn="1" w:lastColumn="0" w:noHBand="0" w:noVBand="1"/>
      </w:tblPr>
      <w:tblGrid>
        <w:gridCol w:w="1247"/>
        <w:gridCol w:w="1284"/>
        <w:gridCol w:w="1536"/>
        <w:gridCol w:w="1476"/>
        <w:gridCol w:w="1476"/>
        <w:gridCol w:w="1476"/>
        <w:gridCol w:w="1144"/>
      </w:tblGrid>
      <w:tr w:rsidR="000B0038" w:rsidRPr="00A124C2" w14:paraId="03AF6A3A" w14:textId="77777777" w:rsidTr="00B16B32">
        <w:trPr>
          <w:trHeight w:val="600"/>
        </w:trPr>
        <w:tc>
          <w:tcPr>
            <w:tcW w:w="124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2ABC04" w14:textId="77777777" w:rsidR="000B0038" w:rsidRPr="00E92817" w:rsidRDefault="000B0038" w:rsidP="00C11138">
            <w:pPr>
              <w:jc w:val="both"/>
            </w:pPr>
          </w:p>
        </w:tc>
        <w:tc>
          <w:tcPr>
            <w:tcW w:w="1284" w:type="dxa"/>
            <w:tcBorders>
              <w:top w:val="single" w:sz="4" w:space="0" w:color="auto"/>
              <w:left w:val="nil"/>
              <w:bottom w:val="single" w:sz="4" w:space="0" w:color="auto"/>
              <w:right w:val="single" w:sz="4" w:space="0" w:color="auto"/>
            </w:tcBorders>
            <w:shd w:val="clear" w:color="000000" w:fill="D9D9D9"/>
            <w:vAlign w:val="center"/>
            <w:hideMark/>
          </w:tcPr>
          <w:p w14:paraId="227BBC13" w14:textId="4344A585" w:rsidR="000B0038" w:rsidRPr="00E92817" w:rsidRDefault="00D40634" w:rsidP="00C11138">
            <w:pPr>
              <w:jc w:val="both"/>
            </w:pPr>
            <w:r w:rsidRPr="00E92817">
              <w:t>Izvršenje 2024</w:t>
            </w:r>
            <w:r w:rsidR="000B0038" w:rsidRPr="00E92817">
              <w:t>.</w:t>
            </w:r>
          </w:p>
        </w:tc>
        <w:tc>
          <w:tcPr>
            <w:tcW w:w="1536" w:type="dxa"/>
            <w:tcBorders>
              <w:top w:val="single" w:sz="4" w:space="0" w:color="auto"/>
              <w:left w:val="nil"/>
              <w:bottom w:val="single" w:sz="4" w:space="0" w:color="auto"/>
              <w:right w:val="single" w:sz="4" w:space="0" w:color="auto"/>
            </w:tcBorders>
            <w:shd w:val="clear" w:color="000000" w:fill="D9D9D9"/>
            <w:vAlign w:val="center"/>
            <w:hideMark/>
          </w:tcPr>
          <w:p w14:paraId="7FEAD77A" w14:textId="4918732A" w:rsidR="000B0038" w:rsidRPr="00777B0C" w:rsidRDefault="00D40634" w:rsidP="00C11138">
            <w:pPr>
              <w:jc w:val="both"/>
            </w:pPr>
            <w:r w:rsidRPr="00777B0C">
              <w:t>Plan 2025</w:t>
            </w:r>
            <w:r w:rsidR="000B0038" w:rsidRPr="00777B0C">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14:paraId="6F595476" w14:textId="311CD69E" w:rsidR="000B0038" w:rsidRPr="00777B0C" w:rsidRDefault="00D40634" w:rsidP="00C11138">
            <w:pPr>
              <w:jc w:val="both"/>
            </w:pPr>
            <w:r w:rsidRPr="00777B0C">
              <w:t>Plan 2026</w:t>
            </w:r>
            <w:r w:rsidR="000B0038" w:rsidRPr="00777B0C">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14:paraId="510A177F" w14:textId="001E2B0E" w:rsidR="000B0038" w:rsidRPr="00777B0C" w:rsidRDefault="00D40634" w:rsidP="00C11138">
            <w:pPr>
              <w:jc w:val="both"/>
            </w:pPr>
            <w:r w:rsidRPr="00777B0C">
              <w:t>Plan 2027</w:t>
            </w:r>
            <w:r w:rsidR="000B0038" w:rsidRPr="00777B0C">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14:paraId="0B343AE2" w14:textId="5F088B0A" w:rsidR="000B0038" w:rsidRPr="00777B0C" w:rsidRDefault="00D40634" w:rsidP="00C11138">
            <w:pPr>
              <w:jc w:val="both"/>
            </w:pPr>
            <w:r w:rsidRPr="00777B0C">
              <w:t>Plan 2028</w:t>
            </w:r>
            <w:r w:rsidR="000B0038" w:rsidRPr="00777B0C">
              <w:t>.</w:t>
            </w:r>
          </w:p>
        </w:tc>
        <w:tc>
          <w:tcPr>
            <w:tcW w:w="1144" w:type="dxa"/>
            <w:tcBorders>
              <w:top w:val="single" w:sz="4" w:space="0" w:color="auto"/>
              <w:left w:val="nil"/>
              <w:bottom w:val="single" w:sz="4" w:space="0" w:color="auto"/>
              <w:right w:val="single" w:sz="4" w:space="0" w:color="auto"/>
            </w:tcBorders>
            <w:shd w:val="clear" w:color="000000" w:fill="D9D9D9"/>
            <w:noWrap/>
            <w:vAlign w:val="center"/>
            <w:hideMark/>
          </w:tcPr>
          <w:p w14:paraId="6DC3981C" w14:textId="7D683C0C" w:rsidR="000B0038" w:rsidRPr="00777B0C" w:rsidRDefault="00510879" w:rsidP="00C11138">
            <w:pPr>
              <w:jc w:val="both"/>
            </w:pPr>
            <w:r w:rsidRPr="00777B0C">
              <w:t>Indeks 2</w:t>
            </w:r>
            <w:r w:rsidR="00D40634" w:rsidRPr="00777B0C">
              <w:t>6</w:t>
            </w:r>
            <w:r w:rsidRPr="00777B0C">
              <w:t>./2</w:t>
            </w:r>
            <w:r w:rsidR="00D40634" w:rsidRPr="00777B0C">
              <w:t>5</w:t>
            </w:r>
            <w:r w:rsidR="000B0038" w:rsidRPr="00777B0C">
              <w:t>.</w:t>
            </w:r>
          </w:p>
        </w:tc>
      </w:tr>
      <w:tr w:rsidR="000B0038" w:rsidRPr="00A124C2" w14:paraId="76D38C20" w14:textId="77777777" w:rsidTr="00B16B32">
        <w:trPr>
          <w:trHeight w:val="300"/>
        </w:trPr>
        <w:tc>
          <w:tcPr>
            <w:tcW w:w="1247" w:type="dxa"/>
            <w:tcBorders>
              <w:top w:val="nil"/>
              <w:left w:val="single" w:sz="4" w:space="0" w:color="auto"/>
              <w:bottom w:val="single" w:sz="4" w:space="0" w:color="auto"/>
              <w:right w:val="single" w:sz="4" w:space="0" w:color="auto"/>
            </w:tcBorders>
            <w:shd w:val="clear" w:color="auto" w:fill="auto"/>
            <w:vAlign w:val="bottom"/>
            <w:hideMark/>
          </w:tcPr>
          <w:p w14:paraId="7B8AF6E1" w14:textId="018CBBE4" w:rsidR="000B0038" w:rsidRPr="00E92817" w:rsidRDefault="000B0038" w:rsidP="00F00594">
            <w:pPr>
              <w:jc w:val="both"/>
            </w:pPr>
            <w:r w:rsidRPr="00E92817">
              <w:t>A</w:t>
            </w:r>
            <w:r w:rsidR="00F00594">
              <w:t>679135</w:t>
            </w:r>
          </w:p>
        </w:tc>
        <w:tc>
          <w:tcPr>
            <w:tcW w:w="1284" w:type="dxa"/>
            <w:tcBorders>
              <w:top w:val="nil"/>
              <w:left w:val="nil"/>
              <w:bottom w:val="single" w:sz="4" w:space="0" w:color="auto"/>
              <w:right w:val="single" w:sz="4" w:space="0" w:color="auto"/>
            </w:tcBorders>
            <w:shd w:val="clear" w:color="auto" w:fill="auto"/>
            <w:vAlign w:val="bottom"/>
          </w:tcPr>
          <w:p w14:paraId="1D2DFE57" w14:textId="29DAFAC0" w:rsidR="000B0038" w:rsidRPr="00E92817" w:rsidRDefault="00E92817" w:rsidP="00C11138">
            <w:pPr>
              <w:jc w:val="both"/>
            </w:pPr>
            <w:r w:rsidRPr="00E92817">
              <w:t>1.932.842</w:t>
            </w:r>
          </w:p>
        </w:tc>
        <w:tc>
          <w:tcPr>
            <w:tcW w:w="1536" w:type="dxa"/>
            <w:tcBorders>
              <w:top w:val="nil"/>
              <w:left w:val="nil"/>
              <w:bottom w:val="single" w:sz="4" w:space="0" w:color="auto"/>
              <w:right w:val="single" w:sz="4" w:space="0" w:color="auto"/>
            </w:tcBorders>
            <w:shd w:val="clear" w:color="auto" w:fill="auto"/>
            <w:noWrap/>
            <w:vAlign w:val="bottom"/>
          </w:tcPr>
          <w:p w14:paraId="088318F7" w14:textId="0F002B19" w:rsidR="000B0038" w:rsidRPr="00777B0C" w:rsidRDefault="00FA019F" w:rsidP="00C11138">
            <w:pPr>
              <w:jc w:val="both"/>
            </w:pPr>
            <w:r w:rsidRPr="00777B0C">
              <w:t>2.459.509</w:t>
            </w:r>
          </w:p>
        </w:tc>
        <w:tc>
          <w:tcPr>
            <w:tcW w:w="1476" w:type="dxa"/>
            <w:tcBorders>
              <w:top w:val="nil"/>
              <w:left w:val="nil"/>
              <w:bottom w:val="single" w:sz="4" w:space="0" w:color="auto"/>
              <w:right w:val="single" w:sz="4" w:space="0" w:color="auto"/>
            </w:tcBorders>
            <w:shd w:val="clear" w:color="auto" w:fill="auto"/>
            <w:noWrap/>
            <w:vAlign w:val="bottom"/>
          </w:tcPr>
          <w:p w14:paraId="2861688A" w14:textId="58FE32AA" w:rsidR="000B0038" w:rsidRPr="00777B0C" w:rsidRDefault="00FA019F" w:rsidP="00C11138">
            <w:pPr>
              <w:jc w:val="both"/>
            </w:pPr>
            <w:r w:rsidRPr="00777B0C">
              <w:t>1.705.234</w:t>
            </w:r>
          </w:p>
        </w:tc>
        <w:tc>
          <w:tcPr>
            <w:tcW w:w="1476" w:type="dxa"/>
            <w:tcBorders>
              <w:top w:val="nil"/>
              <w:left w:val="nil"/>
              <w:bottom w:val="single" w:sz="4" w:space="0" w:color="auto"/>
              <w:right w:val="single" w:sz="4" w:space="0" w:color="auto"/>
            </w:tcBorders>
            <w:shd w:val="clear" w:color="auto" w:fill="auto"/>
            <w:noWrap/>
            <w:vAlign w:val="bottom"/>
          </w:tcPr>
          <w:p w14:paraId="3BF44170" w14:textId="64797A1B" w:rsidR="000B0038" w:rsidRPr="00777B0C" w:rsidRDefault="00FA019F" w:rsidP="00C11138">
            <w:pPr>
              <w:jc w:val="both"/>
            </w:pPr>
            <w:r w:rsidRPr="00777B0C">
              <w:t>1.614.362</w:t>
            </w:r>
          </w:p>
        </w:tc>
        <w:tc>
          <w:tcPr>
            <w:tcW w:w="1476" w:type="dxa"/>
            <w:tcBorders>
              <w:top w:val="nil"/>
              <w:left w:val="nil"/>
              <w:bottom w:val="single" w:sz="4" w:space="0" w:color="auto"/>
              <w:right w:val="single" w:sz="4" w:space="0" w:color="auto"/>
            </w:tcBorders>
            <w:shd w:val="clear" w:color="auto" w:fill="auto"/>
            <w:noWrap/>
            <w:vAlign w:val="bottom"/>
          </w:tcPr>
          <w:p w14:paraId="247F2E38" w14:textId="7568E46D" w:rsidR="000B0038" w:rsidRPr="00777B0C" w:rsidRDefault="00FA019F" w:rsidP="00C11138">
            <w:pPr>
              <w:jc w:val="both"/>
            </w:pPr>
            <w:r w:rsidRPr="00777B0C">
              <w:t>1.596.108</w:t>
            </w:r>
          </w:p>
        </w:tc>
        <w:tc>
          <w:tcPr>
            <w:tcW w:w="1144" w:type="dxa"/>
            <w:tcBorders>
              <w:top w:val="nil"/>
              <w:left w:val="nil"/>
              <w:bottom w:val="single" w:sz="4" w:space="0" w:color="auto"/>
              <w:right w:val="single" w:sz="4" w:space="0" w:color="auto"/>
            </w:tcBorders>
            <w:shd w:val="clear" w:color="auto" w:fill="auto"/>
            <w:noWrap/>
            <w:vAlign w:val="bottom"/>
          </w:tcPr>
          <w:p w14:paraId="3E1CED97" w14:textId="6A41F1C7" w:rsidR="000B0038" w:rsidRPr="00777B0C" w:rsidRDefault="00777B0C" w:rsidP="00C11138">
            <w:pPr>
              <w:jc w:val="both"/>
            </w:pPr>
            <w:r w:rsidRPr="00777B0C">
              <w:t>69,33</w:t>
            </w:r>
          </w:p>
        </w:tc>
      </w:tr>
    </w:tbl>
    <w:p w14:paraId="2CB39266" w14:textId="77777777" w:rsidR="000B0038" w:rsidRPr="00D12E34" w:rsidRDefault="000B0038" w:rsidP="00C11138">
      <w:pPr>
        <w:jc w:val="both"/>
        <w:rPr>
          <w:bCs/>
        </w:rPr>
      </w:pPr>
    </w:p>
    <w:p w14:paraId="000426C1" w14:textId="25C84374" w:rsidR="00302A1B" w:rsidRDefault="00F50E74" w:rsidP="00C11138">
      <w:pPr>
        <w:jc w:val="both"/>
        <w:rPr>
          <w:bCs/>
        </w:rPr>
      </w:pPr>
      <w:r w:rsidRPr="00A124C2">
        <w:rPr>
          <w:bCs/>
        </w:rPr>
        <w:t xml:space="preserve">Ova aktivnost provodi se iz izvora </w:t>
      </w:r>
      <w:r w:rsidR="00143804" w:rsidRPr="00A124C2">
        <w:rPr>
          <w:bCs/>
        </w:rPr>
        <w:t>financiranja: 31, 43, 50</w:t>
      </w:r>
      <w:r w:rsidRPr="00A124C2">
        <w:rPr>
          <w:bCs/>
        </w:rPr>
        <w:t xml:space="preserve">, 61 i 71. </w:t>
      </w:r>
      <w:r w:rsidR="00302A1B" w:rsidRPr="00A124C2">
        <w:rPr>
          <w:bCs/>
        </w:rPr>
        <w:t>Izvršenje rashoda s navedenih aktivnosti provodi se s računa proračunskog korisnika (Fakulteta), a evidencija u sustavu državne riznice o ostvarenju i trošenju vlastitih i namjenskih prihoda i primitaka provodi se na temelju mjesečnih izvještaja korisnika (evidencijski prihodi).</w:t>
      </w:r>
    </w:p>
    <w:p w14:paraId="0ED091C9" w14:textId="77777777" w:rsidR="00F937CA" w:rsidRPr="00A124C2" w:rsidRDefault="00F937CA" w:rsidP="00C11138">
      <w:pPr>
        <w:jc w:val="both"/>
        <w:rPr>
          <w:bCs/>
        </w:rPr>
      </w:pPr>
    </w:p>
    <w:p w14:paraId="3A4F6978" w14:textId="54B838DA" w:rsidR="00A511FD" w:rsidRDefault="00A511FD" w:rsidP="00C11138">
      <w:pPr>
        <w:pStyle w:val="ListParagraph"/>
        <w:numPr>
          <w:ilvl w:val="0"/>
          <w:numId w:val="2"/>
        </w:numPr>
        <w:jc w:val="both"/>
        <w:rPr>
          <w:bCs/>
        </w:rPr>
      </w:pPr>
      <w:r w:rsidRPr="00A124C2">
        <w:rPr>
          <w:b/>
          <w:bCs/>
        </w:rPr>
        <w:t xml:space="preserve">Na izvoru </w:t>
      </w:r>
      <w:r w:rsidR="00302A1B" w:rsidRPr="00A124C2">
        <w:rPr>
          <w:b/>
          <w:bCs/>
        </w:rPr>
        <w:t>31 Vlastiti prihodi</w:t>
      </w:r>
      <w:r w:rsidR="00302A1B" w:rsidRPr="00A124C2">
        <w:rPr>
          <w:bCs/>
        </w:rPr>
        <w:t xml:space="preserve"> </w:t>
      </w:r>
      <w:r w:rsidRPr="00A124C2">
        <w:rPr>
          <w:bCs/>
        </w:rPr>
        <w:t>– Fakultet ostvaruje vlastite prihode od o</w:t>
      </w:r>
      <w:r w:rsidR="00F41CD6" w:rsidRPr="00A124C2">
        <w:rPr>
          <w:bCs/>
        </w:rPr>
        <w:t>bavljanja poslova na tržištu: izvođenje programa cjeloživotnog obrazovanja koji se sastoji od izvođenja tečajeva</w:t>
      </w:r>
      <w:r w:rsidR="00765944" w:rsidRPr="00A124C2">
        <w:rPr>
          <w:bCs/>
        </w:rPr>
        <w:t xml:space="preserve"> trajne</w:t>
      </w:r>
      <w:r w:rsidR="00F41CD6" w:rsidRPr="00A124C2">
        <w:rPr>
          <w:bCs/>
        </w:rPr>
        <w:t xml:space="preserve"> izobraz</w:t>
      </w:r>
      <w:r w:rsidR="00B94EEE" w:rsidRPr="00A124C2">
        <w:rPr>
          <w:bCs/>
        </w:rPr>
        <w:t xml:space="preserve">be za doktore </w:t>
      </w:r>
      <w:r w:rsidR="00CF3E2E" w:rsidRPr="00A124C2">
        <w:rPr>
          <w:bCs/>
        </w:rPr>
        <w:t>dentalne medicine</w:t>
      </w:r>
      <w:r w:rsidR="00F41CD6" w:rsidRPr="00A124C2">
        <w:rPr>
          <w:bCs/>
        </w:rPr>
        <w:t xml:space="preserve"> i  tečajeva za zubne tehničare, </w:t>
      </w:r>
      <w:r w:rsidR="00D7679A" w:rsidRPr="00A124C2">
        <w:rPr>
          <w:bCs/>
        </w:rPr>
        <w:t>organiziranje i održavanje međunarodnih kongresa</w:t>
      </w:r>
      <w:r w:rsidR="00F41CD6" w:rsidRPr="00A124C2">
        <w:rPr>
          <w:bCs/>
        </w:rPr>
        <w:t>, sudskih vještačenja,</w:t>
      </w:r>
      <w:r w:rsidR="00B94EEE" w:rsidRPr="00A124C2">
        <w:rPr>
          <w:color w:val="222222"/>
          <w:shd w:val="clear" w:color="auto" w:fill="FFFFFF"/>
        </w:rPr>
        <w:t xml:space="preserve"> </w:t>
      </w:r>
      <w:r w:rsidR="00B94EEE" w:rsidRPr="00A124C2">
        <w:rPr>
          <w:bCs/>
        </w:rPr>
        <w:t>obavljanja razdoblja prilagodbe u postupcima priznavanja inozemnih stručnih</w:t>
      </w:r>
      <w:r w:rsidR="00765944" w:rsidRPr="00A124C2">
        <w:rPr>
          <w:bCs/>
        </w:rPr>
        <w:t xml:space="preserve"> kvalifikacija</w:t>
      </w:r>
      <w:r w:rsidR="00B94EEE" w:rsidRPr="00A124C2">
        <w:rPr>
          <w:bCs/>
        </w:rPr>
        <w:t>, </w:t>
      </w:r>
      <w:r w:rsidR="00D7679A" w:rsidRPr="00A124C2">
        <w:rPr>
          <w:bCs/>
        </w:rPr>
        <w:t xml:space="preserve">sponzorstava </w:t>
      </w:r>
      <w:r w:rsidRPr="00A124C2">
        <w:rPr>
          <w:bCs/>
        </w:rPr>
        <w:t>te iznajmljivanj</w:t>
      </w:r>
      <w:r w:rsidR="00CF3E2E" w:rsidRPr="00A124C2">
        <w:rPr>
          <w:bCs/>
        </w:rPr>
        <w:t>a</w:t>
      </w:r>
      <w:r w:rsidRPr="00A124C2">
        <w:rPr>
          <w:bCs/>
        </w:rPr>
        <w:t xml:space="preserve"> prostora. Planirani prihodi se koristi za podmirivanje rashoda za zaposlene koji se ne financiraju iz Državnog proračuna, a zaposleni su radi povećanog obujma posla potrebnog za obavljanje gospodarske djelatnosti, za pokrivanje </w:t>
      </w:r>
      <w:r w:rsidR="00F41CD6" w:rsidRPr="00A124C2">
        <w:rPr>
          <w:bCs/>
        </w:rPr>
        <w:t xml:space="preserve">materijalnih rashoda i </w:t>
      </w:r>
      <w:r w:rsidRPr="00A124C2">
        <w:rPr>
          <w:bCs/>
        </w:rPr>
        <w:t xml:space="preserve">financijskih rashoda. </w:t>
      </w:r>
    </w:p>
    <w:p w14:paraId="3A69D937" w14:textId="4A258DC5" w:rsidR="00331F5C" w:rsidRPr="00331F5C" w:rsidRDefault="00331F5C" w:rsidP="00331F5C">
      <w:pPr>
        <w:pStyle w:val="ListParagraph"/>
        <w:ind w:left="686"/>
        <w:jc w:val="both"/>
        <w:rPr>
          <w:bCs/>
        </w:rPr>
      </w:pPr>
      <w:r>
        <w:rPr>
          <w:bCs/>
        </w:rPr>
        <w:lastRenderedPageBreak/>
        <w:t>Rashodi su planirani u iznosu od 200.000 €.</w:t>
      </w:r>
    </w:p>
    <w:p w14:paraId="74C893EA" w14:textId="4D00298D" w:rsidR="00331F5C" w:rsidRDefault="00A511FD" w:rsidP="00145113">
      <w:pPr>
        <w:numPr>
          <w:ilvl w:val="0"/>
          <w:numId w:val="2"/>
        </w:numPr>
        <w:jc w:val="both"/>
        <w:rPr>
          <w:bCs/>
        </w:rPr>
      </w:pPr>
      <w:r w:rsidRPr="00A124C2">
        <w:rPr>
          <w:b/>
          <w:bCs/>
        </w:rPr>
        <w:t>Na izvoru 43 Ostali prihodi za posebne namjene</w:t>
      </w:r>
      <w:r w:rsidR="00D7679A" w:rsidRPr="00A124C2">
        <w:rPr>
          <w:b/>
          <w:bCs/>
        </w:rPr>
        <w:t xml:space="preserve"> –</w:t>
      </w:r>
      <w:r w:rsidRPr="00A124C2">
        <w:rPr>
          <w:bCs/>
        </w:rPr>
        <w:t xml:space="preserve"> </w:t>
      </w:r>
      <w:r w:rsidR="00D7679A" w:rsidRPr="00A124C2">
        <w:rPr>
          <w:bCs/>
        </w:rPr>
        <w:t xml:space="preserve">prihodi </w:t>
      </w:r>
      <w:r w:rsidRPr="00A124C2">
        <w:rPr>
          <w:bCs/>
        </w:rPr>
        <w:t>s</w:t>
      </w:r>
      <w:r w:rsidR="009C28FF" w:rsidRPr="00A124C2">
        <w:rPr>
          <w:bCs/>
        </w:rPr>
        <w:t>e odnose na prihode od školarine</w:t>
      </w:r>
      <w:r w:rsidRPr="00A124C2">
        <w:rPr>
          <w:bCs/>
        </w:rPr>
        <w:t xml:space="preserve"> za </w:t>
      </w:r>
      <w:r w:rsidR="00AE5B5B" w:rsidRPr="00A124C2">
        <w:rPr>
          <w:bCs/>
        </w:rPr>
        <w:t>sveučilišni integrirani prije</w:t>
      </w:r>
      <w:r w:rsidR="00D7679A" w:rsidRPr="00A124C2">
        <w:rPr>
          <w:bCs/>
        </w:rPr>
        <w:t>diplomsk</w:t>
      </w:r>
      <w:r w:rsidR="00CF3E2E" w:rsidRPr="00A124C2">
        <w:rPr>
          <w:bCs/>
        </w:rPr>
        <w:t>i</w:t>
      </w:r>
      <w:r w:rsidR="00D7679A" w:rsidRPr="00A124C2">
        <w:rPr>
          <w:bCs/>
        </w:rPr>
        <w:t xml:space="preserve"> i diplomski studij Dentalna medicina,</w:t>
      </w:r>
      <w:r w:rsidR="00F56E8E" w:rsidRPr="00A124C2">
        <w:rPr>
          <w:bCs/>
        </w:rPr>
        <w:t xml:space="preserve"> na prihode od školarine </w:t>
      </w:r>
      <w:r w:rsidR="00D7679A" w:rsidRPr="00A124C2">
        <w:rPr>
          <w:bCs/>
        </w:rPr>
        <w:t>doktorskog</w:t>
      </w:r>
      <w:r w:rsidRPr="00A124C2">
        <w:rPr>
          <w:bCs/>
        </w:rPr>
        <w:t xml:space="preserve"> studija</w:t>
      </w:r>
      <w:r w:rsidR="00F56E8E" w:rsidRPr="00A124C2">
        <w:rPr>
          <w:bCs/>
        </w:rPr>
        <w:t>, te školarine od specijalističkih studija</w:t>
      </w:r>
      <w:r w:rsidRPr="00A124C2">
        <w:rPr>
          <w:bCs/>
        </w:rPr>
        <w:t>. Najveći dio prihoda odnosi se na studij medicine na engleskom jeziku. Od navedenih prihoda</w:t>
      </w:r>
      <w:r w:rsidR="00D7679A" w:rsidRPr="00A124C2">
        <w:rPr>
          <w:bCs/>
        </w:rPr>
        <w:t xml:space="preserve"> najveći dio se </w:t>
      </w:r>
      <w:r w:rsidRPr="00A124C2">
        <w:rPr>
          <w:bCs/>
        </w:rPr>
        <w:t>koristi za podmirivanje vanjske suradnje, rashoda za zaposlene te osiguranje potrebne opreme potrebne za provođenje studija, pokrivanje materijalnih troškova</w:t>
      </w:r>
      <w:r w:rsidR="00B94EEE" w:rsidRPr="00A124C2">
        <w:rPr>
          <w:bCs/>
        </w:rPr>
        <w:t xml:space="preserve">, </w:t>
      </w:r>
      <w:r w:rsidRPr="00A124C2">
        <w:rPr>
          <w:bCs/>
        </w:rPr>
        <w:t>tekuće investicijsko održavanje i ostalih aktivnosti potrebnih za normalno funkcioniranje rada Fakulteta.</w:t>
      </w:r>
      <w:r w:rsidR="00331F5C">
        <w:rPr>
          <w:bCs/>
        </w:rPr>
        <w:t xml:space="preserve"> U odnosu na ranije godine rashodi su planirani u manjem iznosu </w:t>
      </w:r>
      <w:proofErr w:type="spellStart"/>
      <w:r w:rsidR="00331F5C" w:rsidRPr="00331F5C">
        <w:rPr>
          <w:bCs/>
          <w:lang w:val="en-US"/>
        </w:rPr>
        <w:t>radi</w:t>
      </w:r>
      <w:proofErr w:type="spellEnd"/>
      <w:r w:rsidR="00331F5C" w:rsidRPr="00331F5C">
        <w:rPr>
          <w:bCs/>
          <w:lang w:val="en-US"/>
        </w:rPr>
        <w:t xml:space="preserve"> </w:t>
      </w:r>
      <w:proofErr w:type="spellStart"/>
      <w:r w:rsidR="00331F5C" w:rsidRPr="00331F5C">
        <w:rPr>
          <w:bCs/>
          <w:lang w:val="en-US"/>
        </w:rPr>
        <w:t>promjena</w:t>
      </w:r>
      <w:proofErr w:type="spellEnd"/>
      <w:r w:rsidR="00331F5C" w:rsidRPr="00331F5C">
        <w:rPr>
          <w:bCs/>
          <w:lang w:val="en-US"/>
        </w:rPr>
        <w:t xml:space="preserve"> u </w:t>
      </w:r>
      <w:proofErr w:type="spellStart"/>
      <w:r w:rsidR="00331F5C" w:rsidRPr="00331F5C">
        <w:rPr>
          <w:bCs/>
          <w:lang w:val="en-US"/>
        </w:rPr>
        <w:t>financiranju</w:t>
      </w:r>
      <w:proofErr w:type="spellEnd"/>
      <w:r w:rsidR="00331F5C" w:rsidRPr="00331F5C">
        <w:rPr>
          <w:bCs/>
          <w:lang w:val="en-US"/>
        </w:rPr>
        <w:t xml:space="preserve"> </w:t>
      </w:r>
      <w:proofErr w:type="spellStart"/>
      <w:r w:rsidR="00331F5C" w:rsidRPr="00331F5C">
        <w:rPr>
          <w:bCs/>
          <w:lang w:val="en-US"/>
        </w:rPr>
        <w:t>iz</w:t>
      </w:r>
      <w:proofErr w:type="spellEnd"/>
      <w:r w:rsidR="00331F5C" w:rsidRPr="00331F5C">
        <w:rPr>
          <w:bCs/>
          <w:lang w:val="en-US"/>
        </w:rPr>
        <w:t xml:space="preserve"> </w:t>
      </w:r>
      <w:proofErr w:type="spellStart"/>
      <w:r w:rsidR="00331F5C" w:rsidRPr="00331F5C">
        <w:rPr>
          <w:bCs/>
          <w:lang w:val="en-US"/>
        </w:rPr>
        <w:t>Državnog</w:t>
      </w:r>
      <w:proofErr w:type="spellEnd"/>
      <w:r w:rsidR="00331F5C" w:rsidRPr="00331F5C">
        <w:rPr>
          <w:bCs/>
          <w:lang w:val="en-US"/>
        </w:rPr>
        <w:t xml:space="preserve"> </w:t>
      </w:r>
      <w:proofErr w:type="spellStart"/>
      <w:r w:rsidR="00331F5C" w:rsidRPr="00331F5C">
        <w:rPr>
          <w:bCs/>
          <w:lang w:val="en-US"/>
        </w:rPr>
        <w:t>proračuna</w:t>
      </w:r>
      <w:proofErr w:type="spellEnd"/>
      <w:r w:rsidR="00331F5C" w:rsidRPr="00331F5C">
        <w:rPr>
          <w:bCs/>
          <w:lang w:val="en-US"/>
        </w:rPr>
        <w:t>.</w:t>
      </w:r>
      <w:r w:rsidR="0099077D">
        <w:rPr>
          <w:bCs/>
          <w:lang w:val="en-US"/>
        </w:rPr>
        <w:t xml:space="preserve"> </w:t>
      </w:r>
      <w:proofErr w:type="spellStart"/>
      <w:r w:rsidR="0099077D">
        <w:rPr>
          <w:bCs/>
          <w:lang w:val="en-US"/>
        </w:rPr>
        <w:t>Rashodi</w:t>
      </w:r>
      <w:proofErr w:type="spellEnd"/>
      <w:r w:rsidR="0099077D">
        <w:rPr>
          <w:bCs/>
          <w:lang w:val="en-US"/>
        </w:rPr>
        <w:t xml:space="preserve"> </w:t>
      </w:r>
      <w:proofErr w:type="spellStart"/>
      <w:r w:rsidR="0099077D">
        <w:rPr>
          <w:bCs/>
          <w:lang w:val="en-US"/>
        </w:rPr>
        <w:t>su</w:t>
      </w:r>
      <w:proofErr w:type="spellEnd"/>
      <w:r w:rsidR="0099077D">
        <w:rPr>
          <w:bCs/>
          <w:lang w:val="en-US"/>
        </w:rPr>
        <w:t xml:space="preserve"> </w:t>
      </w:r>
      <w:proofErr w:type="spellStart"/>
      <w:r w:rsidR="0099077D">
        <w:rPr>
          <w:bCs/>
          <w:lang w:val="en-US"/>
        </w:rPr>
        <w:t>planirani</w:t>
      </w:r>
      <w:proofErr w:type="spellEnd"/>
      <w:r w:rsidR="0099077D">
        <w:rPr>
          <w:bCs/>
          <w:lang w:val="en-US"/>
        </w:rPr>
        <w:t xml:space="preserve"> u </w:t>
      </w:r>
      <w:proofErr w:type="spellStart"/>
      <w:r w:rsidR="0099077D">
        <w:rPr>
          <w:bCs/>
          <w:lang w:val="en-US"/>
        </w:rPr>
        <w:t>iznosu</w:t>
      </w:r>
      <w:proofErr w:type="spellEnd"/>
      <w:r w:rsidR="0099077D">
        <w:rPr>
          <w:bCs/>
          <w:lang w:val="en-US"/>
        </w:rPr>
        <w:t xml:space="preserve"> od 1.100.000 €. </w:t>
      </w:r>
      <w:r w:rsidR="00331F5C">
        <w:rPr>
          <w:bCs/>
          <w:lang w:val="en-US"/>
        </w:rPr>
        <w:t xml:space="preserve"> </w:t>
      </w:r>
      <w:proofErr w:type="spellStart"/>
      <w:r w:rsidR="00331F5C">
        <w:rPr>
          <w:bCs/>
          <w:lang w:val="en-US"/>
        </w:rPr>
        <w:t>Dio</w:t>
      </w:r>
      <w:proofErr w:type="spellEnd"/>
      <w:r w:rsidR="00331F5C">
        <w:rPr>
          <w:bCs/>
          <w:lang w:val="en-US"/>
        </w:rPr>
        <w:t xml:space="preserve"> </w:t>
      </w:r>
      <w:proofErr w:type="spellStart"/>
      <w:r w:rsidR="0099077D">
        <w:rPr>
          <w:bCs/>
          <w:lang w:val="en-US"/>
        </w:rPr>
        <w:t>troškova</w:t>
      </w:r>
      <w:proofErr w:type="spellEnd"/>
      <w:r w:rsidR="0099077D">
        <w:rPr>
          <w:bCs/>
          <w:lang w:val="en-US"/>
        </w:rPr>
        <w:t xml:space="preserve"> </w:t>
      </w:r>
      <w:proofErr w:type="spellStart"/>
      <w:r w:rsidR="0099077D">
        <w:rPr>
          <w:bCs/>
          <w:lang w:val="en-US"/>
        </w:rPr>
        <w:t>koji</w:t>
      </w:r>
      <w:proofErr w:type="spellEnd"/>
      <w:r w:rsidR="0099077D">
        <w:rPr>
          <w:bCs/>
          <w:lang w:val="en-US"/>
        </w:rPr>
        <w:t xml:space="preserve"> se </w:t>
      </w:r>
      <w:proofErr w:type="spellStart"/>
      <w:r w:rsidR="0099077D">
        <w:rPr>
          <w:bCs/>
          <w:lang w:val="en-US"/>
        </w:rPr>
        <w:t>odnosi</w:t>
      </w:r>
      <w:proofErr w:type="spellEnd"/>
      <w:r w:rsidR="0099077D">
        <w:rPr>
          <w:bCs/>
          <w:lang w:val="en-US"/>
        </w:rPr>
        <w:t xml:space="preserve"> </w:t>
      </w:r>
      <w:proofErr w:type="spellStart"/>
      <w:r w:rsidR="0099077D">
        <w:rPr>
          <w:bCs/>
          <w:lang w:val="en-US"/>
        </w:rPr>
        <w:t>na</w:t>
      </w:r>
      <w:proofErr w:type="spellEnd"/>
      <w:r w:rsidR="0099077D">
        <w:rPr>
          <w:bCs/>
          <w:lang w:val="en-US"/>
        </w:rPr>
        <w:t xml:space="preserve"> </w:t>
      </w:r>
      <w:proofErr w:type="spellStart"/>
      <w:r w:rsidR="00331F5C">
        <w:rPr>
          <w:bCs/>
          <w:lang w:val="en-US"/>
        </w:rPr>
        <w:t>aktivnosti</w:t>
      </w:r>
      <w:proofErr w:type="spellEnd"/>
      <w:r w:rsidR="00331F5C">
        <w:rPr>
          <w:bCs/>
          <w:lang w:val="en-US"/>
        </w:rPr>
        <w:t xml:space="preserve"> </w:t>
      </w:r>
      <w:proofErr w:type="spellStart"/>
      <w:r w:rsidR="00331F5C">
        <w:rPr>
          <w:bCs/>
          <w:lang w:val="en-US"/>
        </w:rPr>
        <w:t>iz</w:t>
      </w:r>
      <w:proofErr w:type="spellEnd"/>
      <w:r w:rsidR="00331F5C">
        <w:rPr>
          <w:bCs/>
          <w:lang w:val="en-US"/>
        </w:rPr>
        <w:t xml:space="preserve"> </w:t>
      </w:r>
      <w:proofErr w:type="spellStart"/>
      <w:r w:rsidR="00331F5C">
        <w:rPr>
          <w:bCs/>
          <w:lang w:val="en-US"/>
        </w:rPr>
        <w:t>razvojne</w:t>
      </w:r>
      <w:proofErr w:type="spellEnd"/>
      <w:r w:rsidR="00331F5C">
        <w:rPr>
          <w:bCs/>
          <w:lang w:val="en-US"/>
        </w:rPr>
        <w:t xml:space="preserve"> </w:t>
      </w:r>
      <w:proofErr w:type="spellStart"/>
      <w:r w:rsidR="00331F5C">
        <w:rPr>
          <w:bCs/>
          <w:lang w:val="en-US"/>
        </w:rPr>
        <w:t>proračunske</w:t>
      </w:r>
      <w:proofErr w:type="spellEnd"/>
      <w:r w:rsidR="00331F5C">
        <w:rPr>
          <w:bCs/>
          <w:lang w:val="en-US"/>
        </w:rPr>
        <w:t xml:space="preserve"> </w:t>
      </w:r>
      <w:proofErr w:type="spellStart"/>
      <w:r w:rsidR="00331F5C">
        <w:rPr>
          <w:bCs/>
          <w:lang w:val="en-US"/>
        </w:rPr>
        <w:t>komponente</w:t>
      </w:r>
      <w:proofErr w:type="spellEnd"/>
      <w:r w:rsidR="00331F5C">
        <w:rPr>
          <w:bCs/>
          <w:lang w:val="en-US"/>
        </w:rPr>
        <w:t xml:space="preserve"> (</w:t>
      </w:r>
      <w:proofErr w:type="spellStart"/>
      <w:r w:rsidR="00331F5C">
        <w:rPr>
          <w:bCs/>
          <w:lang w:val="en-US"/>
        </w:rPr>
        <w:t>izvor</w:t>
      </w:r>
      <w:proofErr w:type="spellEnd"/>
      <w:r w:rsidR="00331F5C">
        <w:rPr>
          <w:bCs/>
          <w:lang w:val="en-US"/>
        </w:rPr>
        <w:t xml:space="preserve"> 11) </w:t>
      </w:r>
      <w:proofErr w:type="spellStart"/>
      <w:r w:rsidR="00331F5C">
        <w:rPr>
          <w:bCs/>
          <w:lang w:val="en-US"/>
        </w:rPr>
        <w:t>sufinancira</w:t>
      </w:r>
      <w:proofErr w:type="spellEnd"/>
      <w:r w:rsidR="00331F5C">
        <w:rPr>
          <w:bCs/>
          <w:lang w:val="en-US"/>
        </w:rPr>
        <w:t xml:space="preserve"> se </w:t>
      </w:r>
      <w:proofErr w:type="spellStart"/>
      <w:r w:rsidR="00331F5C">
        <w:rPr>
          <w:bCs/>
          <w:lang w:val="en-US"/>
        </w:rPr>
        <w:t>namjenskim</w:t>
      </w:r>
      <w:proofErr w:type="spellEnd"/>
      <w:r w:rsidR="00331F5C">
        <w:rPr>
          <w:bCs/>
          <w:lang w:val="en-US"/>
        </w:rPr>
        <w:t xml:space="preserve"> </w:t>
      </w:r>
      <w:proofErr w:type="spellStart"/>
      <w:r w:rsidR="00331F5C">
        <w:rPr>
          <w:bCs/>
          <w:lang w:val="en-US"/>
        </w:rPr>
        <w:t>prihodima</w:t>
      </w:r>
      <w:proofErr w:type="spellEnd"/>
      <w:r w:rsidR="0099077D">
        <w:rPr>
          <w:bCs/>
          <w:lang w:val="en-US"/>
        </w:rPr>
        <w:t xml:space="preserve"> </w:t>
      </w:r>
      <w:proofErr w:type="spellStart"/>
      <w:r w:rsidR="0099077D">
        <w:rPr>
          <w:bCs/>
          <w:lang w:val="en-US"/>
        </w:rPr>
        <w:t>iz</w:t>
      </w:r>
      <w:proofErr w:type="spellEnd"/>
      <w:r w:rsidR="0099077D">
        <w:rPr>
          <w:bCs/>
          <w:lang w:val="en-US"/>
        </w:rPr>
        <w:t xml:space="preserve"> </w:t>
      </w:r>
      <w:proofErr w:type="spellStart"/>
      <w:r w:rsidR="0099077D">
        <w:rPr>
          <w:bCs/>
          <w:lang w:val="en-US"/>
        </w:rPr>
        <w:t>izvora</w:t>
      </w:r>
      <w:proofErr w:type="spellEnd"/>
      <w:r w:rsidR="0099077D">
        <w:rPr>
          <w:bCs/>
          <w:lang w:val="en-US"/>
        </w:rPr>
        <w:t xml:space="preserve"> 43 u </w:t>
      </w:r>
      <w:proofErr w:type="spellStart"/>
      <w:r w:rsidR="0099077D">
        <w:rPr>
          <w:bCs/>
          <w:lang w:val="en-US"/>
        </w:rPr>
        <w:t>iznosu</w:t>
      </w:r>
      <w:proofErr w:type="spellEnd"/>
      <w:r w:rsidR="0099077D">
        <w:rPr>
          <w:bCs/>
          <w:lang w:val="en-US"/>
        </w:rPr>
        <w:t xml:space="preserve"> od 193.500 €</w:t>
      </w:r>
      <w:r w:rsidR="00331F5C">
        <w:rPr>
          <w:bCs/>
          <w:lang w:val="en-US"/>
        </w:rPr>
        <w:t>.</w:t>
      </w:r>
      <w:r w:rsidR="0099077D">
        <w:rPr>
          <w:bCs/>
          <w:lang w:val="en-US"/>
        </w:rPr>
        <w:t xml:space="preserve"> </w:t>
      </w:r>
      <w:proofErr w:type="spellStart"/>
      <w:r w:rsidR="0099077D">
        <w:rPr>
          <w:bCs/>
          <w:lang w:val="en-US"/>
        </w:rPr>
        <w:t>Osim</w:t>
      </w:r>
      <w:proofErr w:type="spellEnd"/>
      <w:r w:rsidR="0099077D">
        <w:rPr>
          <w:bCs/>
          <w:lang w:val="en-US"/>
        </w:rPr>
        <w:t xml:space="preserve"> </w:t>
      </w:r>
      <w:proofErr w:type="spellStart"/>
      <w:r w:rsidR="0099077D">
        <w:rPr>
          <w:bCs/>
          <w:lang w:val="en-US"/>
        </w:rPr>
        <w:t>sufinaciranja</w:t>
      </w:r>
      <w:proofErr w:type="spellEnd"/>
      <w:r w:rsidR="0099077D">
        <w:rPr>
          <w:bCs/>
          <w:lang w:val="en-US"/>
        </w:rPr>
        <w:t xml:space="preserve"> </w:t>
      </w:r>
      <w:proofErr w:type="spellStart"/>
      <w:r w:rsidR="0099077D">
        <w:rPr>
          <w:bCs/>
          <w:lang w:val="en-US"/>
        </w:rPr>
        <w:t>provodit</w:t>
      </w:r>
      <w:proofErr w:type="spellEnd"/>
      <w:r w:rsidR="0099077D">
        <w:rPr>
          <w:bCs/>
          <w:lang w:val="en-US"/>
        </w:rPr>
        <w:t xml:space="preserve"> </w:t>
      </w:r>
      <w:proofErr w:type="spellStart"/>
      <w:r w:rsidR="0099077D">
        <w:rPr>
          <w:bCs/>
          <w:lang w:val="en-US"/>
        </w:rPr>
        <w:t>ćemo</w:t>
      </w:r>
      <w:proofErr w:type="spellEnd"/>
      <w:r w:rsidR="0099077D">
        <w:rPr>
          <w:bCs/>
          <w:lang w:val="en-US"/>
        </w:rPr>
        <w:t xml:space="preserve"> </w:t>
      </w:r>
      <w:proofErr w:type="spellStart"/>
      <w:r w:rsidR="0099077D">
        <w:rPr>
          <w:bCs/>
          <w:lang w:val="en-US"/>
        </w:rPr>
        <w:t>aktivnosti</w:t>
      </w:r>
      <w:proofErr w:type="spellEnd"/>
      <w:r w:rsidR="0099077D">
        <w:rPr>
          <w:bCs/>
          <w:lang w:val="en-US"/>
        </w:rPr>
        <w:t xml:space="preserve">: </w:t>
      </w:r>
      <w:proofErr w:type="spellStart"/>
      <w:r w:rsidR="0099077D">
        <w:rPr>
          <w:bCs/>
          <w:lang w:val="en-US"/>
        </w:rPr>
        <w:t>internacionalizacija</w:t>
      </w:r>
      <w:proofErr w:type="spellEnd"/>
      <w:r w:rsidR="0099077D">
        <w:rPr>
          <w:bCs/>
          <w:lang w:val="en-US"/>
        </w:rPr>
        <w:t xml:space="preserve"> </w:t>
      </w:r>
      <w:proofErr w:type="spellStart"/>
      <w:r w:rsidR="0099077D">
        <w:rPr>
          <w:bCs/>
          <w:lang w:val="en-US"/>
        </w:rPr>
        <w:t>znanstveno-istraživačkog</w:t>
      </w:r>
      <w:proofErr w:type="spellEnd"/>
      <w:r w:rsidR="0099077D">
        <w:rPr>
          <w:bCs/>
          <w:lang w:val="en-US"/>
        </w:rPr>
        <w:t xml:space="preserve"> </w:t>
      </w:r>
      <w:proofErr w:type="spellStart"/>
      <w:r w:rsidR="0099077D">
        <w:rPr>
          <w:bCs/>
          <w:lang w:val="en-US"/>
        </w:rPr>
        <w:t>okruženja</w:t>
      </w:r>
      <w:proofErr w:type="spellEnd"/>
      <w:r w:rsidR="0099077D">
        <w:rPr>
          <w:bCs/>
          <w:lang w:val="en-US"/>
        </w:rPr>
        <w:t xml:space="preserve"> </w:t>
      </w:r>
      <w:proofErr w:type="spellStart"/>
      <w:r w:rsidR="0099077D">
        <w:rPr>
          <w:bCs/>
          <w:lang w:val="en-US"/>
        </w:rPr>
        <w:t>kroz</w:t>
      </w:r>
      <w:proofErr w:type="spellEnd"/>
      <w:r w:rsidR="0099077D">
        <w:rPr>
          <w:bCs/>
          <w:lang w:val="en-US"/>
        </w:rPr>
        <w:t xml:space="preserve"> </w:t>
      </w:r>
      <w:proofErr w:type="spellStart"/>
      <w:r w:rsidR="0099077D">
        <w:rPr>
          <w:bCs/>
          <w:lang w:val="en-US"/>
        </w:rPr>
        <w:t>jačanje</w:t>
      </w:r>
      <w:proofErr w:type="spellEnd"/>
      <w:r w:rsidR="0099077D">
        <w:rPr>
          <w:bCs/>
          <w:lang w:val="en-US"/>
        </w:rPr>
        <w:t xml:space="preserve"> </w:t>
      </w:r>
      <w:proofErr w:type="spellStart"/>
      <w:r w:rsidR="0099077D">
        <w:rPr>
          <w:bCs/>
          <w:lang w:val="en-US"/>
        </w:rPr>
        <w:t>ljudskih</w:t>
      </w:r>
      <w:proofErr w:type="spellEnd"/>
      <w:r w:rsidR="0099077D">
        <w:rPr>
          <w:bCs/>
          <w:lang w:val="en-US"/>
        </w:rPr>
        <w:t xml:space="preserve"> </w:t>
      </w:r>
      <w:proofErr w:type="spellStart"/>
      <w:r w:rsidR="0099077D">
        <w:rPr>
          <w:bCs/>
          <w:lang w:val="en-US"/>
        </w:rPr>
        <w:t>potencijala</w:t>
      </w:r>
      <w:proofErr w:type="spellEnd"/>
      <w:r w:rsidR="0099077D">
        <w:rPr>
          <w:bCs/>
          <w:lang w:val="en-US"/>
        </w:rPr>
        <w:t xml:space="preserve"> za </w:t>
      </w:r>
      <w:proofErr w:type="spellStart"/>
      <w:r w:rsidR="0099077D">
        <w:rPr>
          <w:bCs/>
          <w:lang w:val="en-US"/>
        </w:rPr>
        <w:t>znanstveni</w:t>
      </w:r>
      <w:proofErr w:type="spellEnd"/>
      <w:r w:rsidR="0099077D">
        <w:rPr>
          <w:bCs/>
          <w:lang w:val="en-US"/>
        </w:rPr>
        <w:t xml:space="preserve"> rad, </w:t>
      </w:r>
      <w:proofErr w:type="spellStart"/>
      <w:r w:rsidR="0099077D">
        <w:rPr>
          <w:bCs/>
          <w:lang w:val="en-US"/>
        </w:rPr>
        <w:t>modernizacija</w:t>
      </w:r>
      <w:proofErr w:type="spellEnd"/>
      <w:r w:rsidR="0099077D">
        <w:rPr>
          <w:bCs/>
          <w:lang w:val="en-US"/>
        </w:rPr>
        <w:t xml:space="preserve"> </w:t>
      </w:r>
      <w:proofErr w:type="spellStart"/>
      <w:r w:rsidR="0099077D">
        <w:rPr>
          <w:bCs/>
          <w:lang w:val="en-US"/>
        </w:rPr>
        <w:t>istraživačke</w:t>
      </w:r>
      <w:proofErr w:type="spellEnd"/>
      <w:r w:rsidR="0099077D">
        <w:rPr>
          <w:bCs/>
          <w:lang w:val="en-US"/>
        </w:rPr>
        <w:t xml:space="preserve"> </w:t>
      </w:r>
      <w:proofErr w:type="spellStart"/>
      <w:r w:rsidR="0099077D">
        <w:rPr>
          <w:bCs/>
          <w:lang w:val="en-US"/>
        </w:rPr>
        <w:t>opreme</w:t>
      </w:r>
      <w:proofErr w:type="spellEnd"/>
      <w:r w:rsidR="0099077D">
        <w:rPr>
          <w:bCs/>
          <w:lang w:val="en-US"/>
        </w:rPr>
        <w:t xml:space="preserve"> za </w:t>
      </w:r>
      <w:proofErr w:type="spellStart"/>
      <w:r w:rsidR="0099077D">
        <w:rPr>
          <w:bCs/>
          <w:lang w:val="en-US"/>
        </w:rPr>
        <w:t>podizanje</w:t>
      </w:r>
      <w:proofErr w:type="spellEnd"/>
      <w:r w:rsidR="0099077D">
        <w:rPr>
          <w:bCs/>
          <w:lang w:val="en-US"/>
        </w:rPr>
        <w:t xml:space="preserve"> </w:t>
      </w:r>
      <w:proofErr w:type="spellStart"/>
      <w:r w:rsidR="0099077D">
        <w:rPr>
          <w:bCs/>
          <w:lang w:val="en-US"/>
        </w:rPr>
        <w:t>konkurentnosti</w:t>
      </w:r>
      <w:proofErr w:type="spellEnd"/>
      <w:r w:rsidR="0099077D">
        <w:rPr>
          <w:bCs/>
          <w:lang w:val="en-US"/>
        </w:rPr>
        <w:t xml:space="preserve"> </w:t>
      </w:r>
      <w:proofErr w:type="spellStart"/>
      <w:r w:rsidR="0099077D">
        <w:rPr>
          <w:bCs/>
          <w:lang w:val="en-US"/>
        </w:rPr>
        <w:t>istraživanja</w:t>
      </w:r>
      <w:proofErr w:type="spellEnd"/>
      <w:r w:rsidR="0099077D">
        <w:rPr>
          <w:bCs/>
          <w:lang w:val="en-US"/>
        </w:rPr>
        <w:t xml:space="preserve">, </w:t>
      </w:r>
      <w:proofErr w:type="spellStart"/>
      <w:r w:rsidR="0099077D">
        <w:rPr>
          <w:bCs/>
          <w:lang w:val="en-US"/>
        </w:rPr>
        <w:t>uvođenje</w:t>
      </w:r>
      <w:proofErr w:type="spellEnd"/>
      <w:r w:rsidR="0099077D">
        <w:rPr>
          <w:bCs/>
          <w:lang w:val="en-US"/>
        </w:rPr>
        <w:t xml:space="preserve"> </w:t>
      </w:r>
      <w:proofErr w:type="spellStart"/>
      <w:r w:rsidR="0099077D">
        <w:rPr>
          <w:bCs/>
          <w:lang w:val="en-US"/>
        </w:rPr>
        <w:t>stipendija</w:t>
      </w:r>
      <w:proofErr w:type="spellEnd"/>
      <w:r w:rsidR="0099077D">
        <w:rPr>
          <w:bCs/>
          <w:lang w:val="en-US"/>
        </w:rPr>
        <w:t xml:space="preserve"> za </w:t>
      </w:r>
      <w:proofErr w:type="spellStart"/>
      <w:r w:rsidR="0099077D">
        <w:rPr>
          <w:bCs/>
          <w:lang w:val="en-US"/>
        </w:rPr>
        <w:t>izvrsnost</w:t>
      </w:r>
      <w:proofErr w:type="spellEnd"/>
      <w:r w:rsidR="0099077D">
        <w:rPr>
          <w:bCs/>
          <w:lang w:val="en-US"/>
        </w:rPr>
        <w:t xml:space="preserve"> </w:t>
      </w:r>
      <w:proofErr w:type="spellStart"/>
      <w:r w:rsidR="0099077D">
        <w:rPr>
          <w:bCs/>
          <w:lang w:val="en-US"/>
        </w:rPr>
        <w:t>studentima</w:t>
      </w:r>
      <w:proofErr w:type="spellEnd"/>
      <w:r w:rsidR="0099077D">
        <w:rPr>
          <w:bCs/>
          <w:lang w:val="en-US"/>
        </w:rPr>
        <w:t xml:space="preserve"> </w:t>
      </w:r>
      <w:proofErr w:type="spellStart"/>
      <w:r w:rsidR="0099077D">
        <w:rPr>
          <w:bCs/>
          <w:lang w:val="en-US"/>
        </w:rPr>
        <w:t>integriranog</w:t>
      </w:r>
      <w:proofErr w:type="spellEnd"/>
      <w:r w:rsidR="0099077D">
        <w:rPr>
          <w:bCs/>
          <w:lang w:val="en-US"/>
        </w:rPr>
        <w:t xml:space="preserve"> </w:t>
      </w:r>
      <w:proofErr w:type="spellStart"/>
      <w:r w:rsidR="0099077D">
        <w:rPr>
          <w:bCs/>
          <w:lang w:val="en-US"/>
        </w:rPr>
        <w:t>studija</w:t>
      </w:r>
      <w:proofErr w:type="spellEnd"/>
      <w:r w:rsidR="0099077D">
        <w:rPr>
          <w:bCs/>
          <w:lang w:val="en-US"/>
        </w:rPr>
        <w:t xml:space="preserve">, </w:t>
      </w:r>
      <w:proofErr w:type="spellStart"/>
      <w:r w:rsidR="0099077D">
        <w:rPr>
          <w:bCs/>
          <w:lang w:val="en-US"/>
        </w:rPr>
        <w:t>digitalna</w:t>
      </w:r>
      <w:proofErr w:type="spellEnd"/>
      <w:r w:rsidR="0099077D">
        <w:rPr>
          <w:bCs/>
          <w:lang w:val="en-US"/>
        </w:rPr>
        <w:t xml:space="preserve"> </w:t>
      </w:r>
      <w:proofErr w:type="spellStart"/>
      <w:r w:rsidR="0099077D">
        <w:rPr>
          <w:bCs/>
          <w:lang w:val="en-US"/>
        </w:rPr>
        <w:t>transformacija</w:t>
      </w:r>
      <w:proofErr w:type="spellEnd"/>
      <w:r w:rsidR="0099077D">
        <w:rPr>
          <w:bCs/>
          <w:lang w:val="en-US"/>
        </w:rPr>
        <w:t xml:space="preserve"> </w:t>
      </w:r>
      <w:proofErr w:type="spellStart"/>
      <w:r w:rsidR="0099077D">
        <w:rPr>
          <w:bCs/>
          <w:lang w:val="en-US"/>
        </w:rPr>
        <w:t>poslovanja</w:t>
      </w:r>
      <w:proofErr w:type="spellEnd"/>
      <w:r w:rsidR="0099077D">
        <w:rPr>
          <w:bCs/>
          <w:lang w:val="en-US"/>
        </w:rPr>
        <w:t xml:space="preserve"> </w:t>
      </w:r>
      <w:proofErr w:type="spellStart"/>
      <w:r w:rsidR="0099077D">
        <w:rPr>
          <w:bCs/>
          <w:lang w:val="en-US"/>
        </w:rPr>
        <w:t>Stomatološkog</w:t>
      </w:r>
      <w:proofErr w:type="spellEnd"/>
      <w:r w:rsidR="0099077D">
        <w:rPr>
          <w:bCs/>
          <w:lang w:val="en-US"/>
        </w:rPr>
        <w:t xml:space="preserve"> </w:t>
      </w:r>
      <w:proofErr w:type="spellStart"/>
      <w:r w:rsidR="0099077D">
        <w:rPr>
          <w:bCs/>
          <w:lang w:val="en-US"/>
        </w:rPr>
        <w:t>fakulteta</w:t>
      </w:r>
      <w:proofErr w:type="spellEnd"/>
      <w:r w:rsidR="0099077D">
        <w:rPr>
          <w:bCs/>
          <w:lang w:val="en-US"/>
        </w:rPr>
        <w:t xml:space="preserve"> </w:t>
      </w:r>
      <w:proofErr w:type="spellStart"/>
      <w:r w:rsidR="0099077D">
        <w:rPr>
          <w:bCs/>
          <w:lang w:val="en-US"/>
        </w:rPr>
        <w:t>i</w:t>
      </w:r>
      <w:proofErr w:type="spellEnd"/>
      <w:r w:rsidR="0099077D">
        <w:rPr>
          <w:bCs/>
          <w:lang w:val="en-US"/>
        </w:rPr>
        <w:t xml:space="preserve"> </w:t>
      </w:r>
      <w:proofErr w:type="spellStart"/>
      <w:r w:rsidR="0099077D">
        <w:rPr>
          <w:bCs/>
          <w:lang w:val="en-US"/>
        </w:rPr>
        <w:t>jačanje</w:t>
      </w:r>
      <w:proofErr w:type="spellEnd"/>
      <w:r w:rsidR="0099077D">
        <w:rPr>
          <w:bCs/>
          <w:lang w:val="en-US"/>
        </w:rPr>
        <w:t xml:space="preserve"> </w:t>
      </w:r>
      <w:proofErr w:type="spellStart"/>
      <w:r w:rsidR="0099077D">
        <w:rPr>
          <w:bCs/>
          <w:lang w:val="en-US"/>
        </w:rPr>
        <w:t>ljudskih</w:t>
      </w:r>
      <w:proofErr w:type="spellEnd"/>
      <w:r w:rsidR="0099077D">
        <w:rPr>
          <w:bCs/>
          <w:lang w:val="en-US"/>
        </w:rPr>
        <w:t xml:space="preserve"> </w:t>
      </w:r>
      <w:proofErr w:type="spellStart"/>
      <w:r w:rsidR="0099077D">
        <w:rPr>
          <w:bCs/>
          <w:lang w:val="en-US"/>
        </w:rPr>
        <w:t>potencijala</w:t>
      </w:r>
      <w:proofErr w:type="spellEnd"/>
      <w:r w:rsidR="0099077D">
        <w:rPr>
          <w:bCs/>
          <w:lang w:val="en-US"/>
        </w:rPr>
        <w:t xml:space="preserve"> u </w:t>
      </w:r>
      <w:proofErr w:type="spellStart"/>
      <w:r w:rsidR="0099077D">
        <w:rPr>
          <w:bCs/>
          <w:lang w:val="en-US"/>
        </w:rPr>
        <w:t>znanstveno-istraživačkom</w:t>
      </w:r>
      <w:proofErr w:type="spellEnd"/>
      <w:r w:rsidR="0099077D">
        <w:rPr>
          <w:bCs/>
          <w:lang w:val="en-US"/>
        </w:rPr>
        <w:t xml:space="preserve"> </w:t>
      </w:r>
      <w:proofErr w:type="spellStart"/>
      <w:r w:rsidR="0099077D">
        <w:rPr>
          <w:bCs/>
          <w:lang w:val="en-US"/>
        </w:rPr>
        <w:t>laboratoriju</w:t>
      </w:r>
      <w:proofErr w:type="spellEnd"/>
      <w:r w:rsidR="0099077D">
        <w:rPr>
          <w:bCs/>
          <w:lang w:val="en-US"/>
        </w:rPr>
        <w:t>.</w:t>
      </w:r>
      <w:r w:rsidR="00145113">
        <w:rPr>
          <w:bCs/>
          <w:lang w:val="en-US"/>
        </w:rPr>
        <w:t xml:space="preserve"> </w:t>
      </w:r>
      <w:proofErr w:type="spellStart"/>
      <w:r w:rsidR="00145113">
        <w:rPr>
          <w:bCs/>
          <w:lang w:val="en-US"/>
        </w:rPr>
        <w:t>Dio</w:t>
      </w:r>
      <w:proofErr w:type="spellEnd"/>
      <w:r w:rsidR="00145113">
        <w:rPr>
          <w:bCs/>
          <w:lang w:val="en-US"/>
        </w:rPr>
        <w:t xml:space="preserve"> </w:t>
      </w:r>
      <w:proofErr w:type="spellStart"/>
      <w:r w:rsidR="00145113">
        <w:rPr>
          <w:bCs/>
          <w:lang w:val="en-US"/>
        </w:rPr>
        <w:t>troškova</w:t>
      </w:r>
      <w:proofErr w:type="spellEnd"/>
      <w:r w:rsidR="00145113">
        <w:rPr>
          <w:bCs/>
          <w:lang w:val="en-US"/>
        </w:rPr>
        <w:t xml:space="preserve"> </w:t>
      </w:r>
      <w:proofErr w:type="spellStart"/>
      <w:r w:rsidR="00145113">
        <w:rPr>
          <w:bCs/>
          <w:lang w:val="en-US"/>
        </w:rPr>
        <w:t>koji</w:t>
      </w:r>
      <w:proofErr w:type="spellEnd"/>
      <w:r w:rsidR="00145113">
        <w:rPr>
          <w:bCs/>
          <w:lang w:val="en-US"/>
        </w:rPr>
        <w:t xml:space="preserve"> se </w:t>
      </w:r>
      <w:proofErr w:type="spellStart"/>
      <w:r w:rsidR="00145113">
        <w:rPr>
          <w:bCs/>
          <w:lang w:val="en-US"/>
        </w:rPr>
        <w:t>odnosi</w:t>
      </w:r>
      <w:proofErr w:type="spellEnd"/>
      <w:r w:rsidR="00145113">
        <w:rPr>
          <w:bCs/>
          <w:lang w:val="en-US"/>
        </w:rPr>
        <w:t xml:space="preserve"> </w:t>
      </w:r>
      <w:proofErr w:type="spellStart"/>
      <w:r w:rsidR="00145113">
        <w:rPr>
          <w:bCs/>
          <w:lang w:val="en-US"/>
        </w:rPr>
        <w:t>na</w:t>
      </w:r>
      <w:proofErr w:type="spellEnd"/>
      <w:r w:rsidR="00145113">
        <w:rPr>
          <w:bCs/>
          <w:lang w:val="en-US"/>
        </w:rPr>
        <w:t xml:space="preserve"> </w:t>
      </w:r>
      <w:proofErr w:type="spellStart"/>
      <w:r w:rsidR="00145113">
        <w:rPr>
          <w:bCs/>
          <w:lang w:val="en-US"/>
        </w:rPr>
        <w:t>aktivnosti</w:t>
      </w:r>
      <w:proofErr w:type="spellEnd"/>
      <w:r w:rsidR="00145113">
        <w:rPr>
          <w:bCs/>
          <w:lang w:val="en-US"/>
        </w:rPr>
        <w:t xml:space="preserve"> </w:t>
      </w:r>
      <w:proofErr w:type="spellStart"/>
      <w:r w:rsidR="00145113">
        <w:rPr>
          <w:bCs/>
          <w:lang w:val="en-US"/>
        </w:rPr>
        <w:t>iz</w:t>
      </w:r>
      <w:proofErr w:type="spellEnd"/>
      <w:r w:rsidR="00145113">
        <w:rPr>
          <w:bCs/>
          <w:lang w:val="en-US"/>
        </w:rPr>
        <w:t xml:space="preserve"> </w:t>
      </w:r>
      <w:proofErr w:type="spellStart"/>
      <w:r w:rsidR="00145113">
        <w:rPr>
          <w:bCs/>
          <w:lang w:val="en-US"/>
        </w:rPr>
        <w:t>izvedbene</w:t>
      </w:r>
      <w:proofErr w:type="spellEnd"/>
      <w:r w:rsidR="00145113">
        <w:rPr>
          <w:bCs/>
          <w:lang w:val="en-US"/>
        </w:rPr>
        <w:t xml:space="preserve"> </w:t>
      </w:r>
      <w:proofErr w:type="spellStart"/>
      <w:r w:rsidR="00145113">
        <w:rPr>
          <w:bCs/>
          <w:lang w:val="en-US"/>
        </w:rPr>
        <w:t>proračunske</w:t>
      </w:r>
      <w:proofErr w:type="spellEnd"/>
      <w:r w:rsidR="00145113">
        <w:rPr>
          <w:bCs/>
          <w:lang w:val="en-US"/>
        </w:rPr>
        <w:t xml:space="preserve"> </w:t>
      </w:r>
      <w:proofErr w:type="spellStart"/>
      <w:r w:rsidR="00145113">
        <w:rPr>
          <w:bCs/>
          <w:lang w:val="en-US"/>
        </w:rPr>
        <w:t>komponente</w:t>
      </w:r>
      <w:proofErr w:type="spellEnd"/>
      <w:r w:rsidR="00145113">
        <w:rPr>
          <w:bCs/>
          <w:lang w:val="en-US"/>
        </w:rPr>
        <w:t xml:space="preserve"> (</w:t>
      </w:r>
      <w:proofErr w:type="spellStart"/>
      <w:r w:rsidR="00145113">
        <w:rPr>
          <w:bCs/>
          <w:lang w:val="en-US"/>
        </w:rPr>
        <w:t>izvor</w:t>
      </w:r>
      <w:proofErr w:type="spellEnd"/>
      <w:r w:rsidR="00145113">
        <w:rPr>
          <w:bCs/>
          <w:lang w:val="en-US"/>
        </w:rPr>
        <w:t xml:space="preserve"> 11) </w:t>
      </w:r>
      <w:proofErr w:type="spellStart"/>
      <w:r w:rsidR="00145113">
        <w:rPr>
          <w:bCs/>
          <w:lang w:val="en-US"/>
        </w:rPr>
        <w:t>sufinancira</w:t>
      </w:r>
      <w:proofErr w:type="spellEnd"/>
      <w:r w:rsidR="00145113">
        <w:rPr>
          <w:bCs/>
          <w:lang w:val="en-US"/>
        </w:rPr>
        <w:t xml:space="preserve"> se </w:t>
      </w:r>
      <w:proofErr w:type="spellStart"/>
      <w:r w:rsidR="00145113">
        <w:rPr>
          <w:bCs/>
          <w:lang w:val="en-US"/>
        </w:rPr>
        <w:t>namjenskim</w:t>
      </w:r>
      <w:proofErr w:type="spellEnd"/>
      <w:r w:rsidR="00145113">
        <w:rPr>
          <w:bCs/>
          <w:lang w:val="en-US"/>
        </w:rPr>
        <w:t xml:space="preserve"> </w:t>
      </w:r>
      <w:proofErr w:type="spellStart"/>
      <w:r w:rsidR="00145113">
        <w:rPr>
          <w:bCs/>
          <w:lang w:val="en-US"/>
        </w:rPr>
        <w:t>prihodima</w:t>
      </w:r>
      <w:proofErr w:type="spellEnd"/>
      <w:r w:rsidR="00145113">
        <w:rPr>
          <w:bCs/>
          <w:lang w:val="en-US"/>
        </w:rPr>
        <w:t xml:space="preserve"> </w:t>
      </w:r>
      <w:proofErr w:type="spellStart"/>
      <w:r w:rsidR="00145113">
        <w:rPr>
          <w:bCs/>
          <w:lang w:val="en-US"/>
        </w:rPr>
        <w:t>iz</w:t>
      </w:r>
      <w:proofErr w:type="spellEnd"/>
      <w:r w:rsidR="00145113">
        <w:rPr>
          <w:bCs/>
          <w:lang w:val="en-US"/>
        </w:rPr>
        <w:t xml:space="preserve"> </w:t>
      </w:r>
      <w:proofErr w:type="spellStart"/>
      <w:r w:rsidR="00145113">
        <w:rPr>
          <w:bCs/>
          <w:lang w:val="en-US"/>
        </w:rPr>
        <w:t>izvora</w:t>
      </w:r>
      <w:proofErr w:type="spellEnd"/>
      <w:r w:rsidR="00145113">
        <w:rPr>
          <w:bCs/>
          <w:lang w:val="en-US"/>
        </w:rPr>
        <w:t xml:space="preserve"> 43 u </w:t>
      </w:r>
      <w:proofErr w:type="spellStart"/>
      <w:r w:rsidR="00145113">
        <w:rPr>
          <w:bCs/>
          <w:lang w:val="en-US"/>
        </w:rPr>
        <w:t>iznosu</w:t>
      </w:r>
      <w:proofErr w:type="spellEnd"/>
      <w:r w:rsidR="00145113">
        <w:rPr>
          <w:bCs/>
          <w:lang w:val="en-US"/>
        </w:rPr>
        <w:t xml:space="preserve"> od 35.281 €. </w:t>
      </w:r>
      <w:proofErr w:type="spellStart"/>
      <w:r w:rsidR="00145113">
        <w:rPr>
          <w:bCs/>
          <w:lang w:val="en-US"/>
        </w:rPr>
        <w:t>Odnosi</w:t>
      </w:r>
      <w:proofErr w:type="spellEnd"/>
      <w:r w:rsidR="00145113">
        <w:rPr>
          <w:bCs/>
          <w:lang w:val="en-US"/>
        </w:rPr>
        <w:t xml:space="preserve"> se </w:t>
      </w:r>
      <w:proofErr w:type="spellStart"/>
      <w:r w:rsidR="00145113">
        <w:rPr>
          <w:bCs/>
          <w:lang w:val="en-US"/>
        </w:rPr>
        <w:t>na</w:t>
      </w:r>
      <w:proofErr w:type="spellEnd"/>
      <w:r w:rsidR="00145113">
        <w:rPr>
          <w:bCs/>
          <w:lang w:val="en-US"/>
        </w:rPr>
        <w:t xml:space="preserve"> </w:t>
      </w:r>
      <w:proofErr w:type="spellStart"/>
      <w:r w:rsidR="00145113">
        <w:rPr>
          <w:bCs/>
          <w:lang w:val="en-US"/>
        </w:rPr>
        <w:t>troškove</w:t>
      </w:r>
      <w:proofErr w:type="spellEnd"/>
      <w:r w:rsidR="00145113">
        <w:rPr>
          <w:bCs/>
          <w:lang w:val="en-US"/>
        </w:rPr>
        <w:t xml:space="preserve"> za </w:t>
      </w:r>
      <w:proofErr w:type="spellStart"/>
      <w:r w:rsidR="00145113">
        <w:rPr>
          <w:bCs/>
          <w:lang w:val="en-US"/>
        </w:rPr>
        <w:t>provedbu</w:t>
      </w:r>
      <w:proofErr w:type="spellEnd"/>
      <w:r w:rsidR="00145113">
        <w:rPr>
          <w:bCs/>
          <w:lang w:val="en-US"/>
        </w:rPr>
        <w:t xml:space="preserve"> </w:t>
      </w:r>
      <w:proofErr w:type="spellStart"/>
      <w:r w:rsidR="00145113">
        <w:rPr>
          <w:bCs/>
          <w:lang w:val="en-US"/>
        </w:rPr>
        <w:t>aktivnosti</w:t>
      </w:r>
      <w:proofErr w:type="spellEnd"/>
      <w:r w:rsidR="00145113">
        <w:rPr>
          <w:bCs/>
          <w:lang w:val="en-US"/>
        </w:rPr>
        <w:t xml:space="preserve"> </w:t>
      </w:r>
      <w:proofErr w:type="spellStart"/>
      <w:r w:rsidR="00145113">
        <w:rPr>
          <w:bCs/>
          <w:lang w:val="en-US"/>
        </w:rPr>
        <w:t>popularizacije</w:t>
      </w:r>
      <w:proofErr w:type="spellEnd"/>
      <w:r w:rsidR="00145113">
        <w:rPr>
          <w:bCs/>
          <w:lang w:val="en-US"/>
        </w:rPr>
        <w:t xml:space="preserve"> </w:t>
      </w:r>
      <w:proofErr w:type="spellStart"/>
      <w:r w:rsidR="00145113">
        <w:rPr>
          <w:bCs/>
          <w:lang w:val="en-US"/>
        </w:rPr>
        <w:t>znanosti</w:t>
      </w:r>
      <w:proofErr w:type="spellEnd"/>
      <w:r w:rsidR="00145113">
        <w:rPr>
          <w:bCs/>
          <w:lang w:val="en-US"/>
        </w:rPr>
        <w:t xml:space="preserve"> I </w:t>
      </w:r>
      <w:proofErr w:type="spellStart"/>
      <w:r w:rsidR="00145113">
        <w:rPr>
          <w:bCs/>
          <w:lang w:val="en-US"/>
        </w:rPr>
        <w:t>sufinaciranje</w:t>
      </w:r>
      <w:proofErr w:type="spellEnd"/>
      <w:r w:rsidR="00145113">
        <w:rPr>
          <w:bCs/>
          <w:lang w:val="en-US"/>
        </w:rPr>
        <w:t xml:space="preserve"> za </w:t>
      </w:r>
      <w:r w:rsidR="00145113">
        <w:rPr>
          <w:bCs/>
        </w:rPr>
        <w:t>ugovorene znanstvene</w:t>
      </w:r>
      <w:r w:rsidR="00145113" w:rsidRPr="002E3B69">
        <w:rPr>
          <w:bCs/>
        </w:rPr>
        <w:t xml:space="preserve"> projekat</w:t>
      </w:r>
      <w:r w:rsidR="00145113">
        <w:rPr>
          <w:bCs/>
        </w:rPr>
        <w:t>e</w:t>
      </w:r>
      <w:r w:rsidR="00145113" w:rsidRPr="002E3B69">
        <w:rPr>
          <w:bCs/>
        </w:rPr>
        <w:t xml:space="preserve"> iz programskog ugovora</w:t>
      </w:r>
      <w:r w:rsidR="00145113">
        <w:rPr>
          <w:bCs/>
        </w:rPr>
        <w:t xml:space="preserve"> </w:t>
      </w:r>
      <w:r w:rsidR="00145113" w:rsidRPr="002E3B69">
        <w:rPr>
          <w:bCs/>
        </w:rPr>
        <w:t>financiranih iz NPOO-a.</w:t>
      </w:r>
    </w:p>
    <w:p w14:paraId="138DF2A5" w14:textId="303177AA" w:rsidR="00A511FD" w:rsidRPr="00A124C2" w:rsidRDefault="00A511FD" w:rsidP="00331F5C">
      <w:pPr>
        <w:ind w:left="686"/>
        <w:jc w:val="both"/>
        <w:rPr>
          <w:bCs/>
        </w:rPr>
      </w:pPr>
      <w:r w:rsidRPr="00A124C2">
        <w:rPr>
          <w:bCs/>
        </w:rPr>
        <w:t xml:space="preserve">  </w:t>
      </w:r>
    </w:p>
    <w:p w14:paraId="47A2614F" w14:textId="17DFEFCB" w:rsidR="00A511FD" w:rsidRDefault="00D7679A" w:rsidP="00C11138">
      <w:pPr>
        <w:numPr>
          <w:ilvl w:val="0"/>
          <w:numId w:val="2"/>
        </w:numPr>
        <w:jc w:val="both"/>
        <w:rPr>
          <w:bCs/>
        </w:rPr>
      </w:pPr>
      <w:r w:rsidRPr="00A124C2">
        <w:rPr>
          <w:b/>
          <w:bCs/>
        </w:rPr>
        <w:t xml:space="preserve">Na izvoru </w:t>
      </w:r>
      <w:r w:rsidR="00143804" w:rsidRPr="00A124C2">
        <w:rPr>
          <w:b/>
          <w:bCs/>
        </w:rPr>
        <w:t>50</w:t>
      </w:r>
      <w:r w:rsidR="00A511FD" w:rsidRPr="00A124C2">
        <w:rPr>
          <w:b/>
          <w:bCs/>
        </w:rPr>
        <w:t xml:space="preserve"> </w:t>
      </w:r>
      <w:r w:rsidR="00143804" w:rsidRPr="00A124C2">
        <w:rPr>
          <w:b/>
          <w:bCs/>
        </w:rPr>
        <w:t>P</w:t>
      </w:r>
      <w:r w:rsidR="00A511FD" w:rsidRPr="00A124C2">
        <w:rPr>
          <w:b/>
          <w:bCs/>
        </w:rPr>
        <w:t>omoći</w:t>
      </w:r>
      <w:r w:rsidR="00143804" w:rsidRPr="00A124C2">
        <w:rPr>
          <w:b/>
          <w:bCs/>
        </w:rPr>
        <w:t xml:space="preserve"> iz Državnog proračuna</w:t>
      </w:r>
      <w:r w:rsidRPr="00A124C2">
        <w:rPr>
          <w:b/>
          <w:bCs/>
        </w:rPr>
        <w:t xml:space="preserve"> – </w:t>
      </w:r>
      <w:r w:rsidRPr="00A124C2">
        <w:rPr>
          <w:bCs/>
        </w:rPr>
        <w:t>prihodi</w:t>
      </w:r>
      <w:r w:rsidR="00A511FD" w:rsidRPr="00A124C2">
        <w:rPr>
          <w:bCs/>
        </w:rPr>
        <w:t xml:space="preserve"> se odnose na prihode od Hrvatske zaklade za znanost (HRZZ)</w:t>
      </w:r>
      <w:r w:rsidR="009929F1">
        <w:rPr>
          <w:bCs/>
        </w:rPr>
        <w:t xml:space="preserve"> </w:t>
      </w:r>
      <w:r w:rsidR="009929F1" w:rsidRPr="009929F1">
        <w:rPr>
          <w:bCs/>
        </w:rPr>
        <w:t xml:space="preserve">temeljem dobivene obavijesti s njihove strane. </w:t>
      </w:r>
      <w:r w:rsidR="009929F1">
        <w:rPr>
          <w:bCs/>
        </w:rPr>
        <w:t>Planirana sredstva iznose 78.595 €</w:t>
      </w:r>
      <w:r w:rsidR="00A511FD" w:rsidRPr="00A124C2">
        <w:rPr>
          <w:bCs/>
        </w:rPr>
        <w:t xml:space="preserve"> za projektno financiranje znanstvene djelatnosti </w:t>
      </w:r>
      <w:r w:rsidR="009929F1">
        <w:rPr>
          <w:bCs/>
        </w:rPr>
        <w:t>i 60.000 € za</w:t>
      </w:r>
      <w:r w:rsidR="00A511FD" w:rsidRPr="00A124C2">
        <w:rPr>
          <w:bCs/>
        </w:rPr>
        <w:t xml:space="preserve"> financiranje </w:t>
      </w:r>
      <w:r w:rsidR="009C28FF" w:rsidRPr="00A124C2">
        <w:rPr>
          <w:bCs/>
        </w:rPr>
        <w:t xml:space="preserve">programa </w:t>
      </w:r>
      <w:proofErr w:type="spellStart"/>
      <w:r w:rsidR="00A511FD" w:rsidRPr="00A124C2">
        <w:rPr>
          <w:bCs/>
        </w:rPr>
        <w:t>doktoranada</w:t>
      </w:r>
      <w:proofErr w:type="spellEnd"/>
      <w:r w:rsidR="00A511FD" w:rsidRPr="00A124C2">
        <w:rPr>
          <w:bCs/>
        </w:rPr>
        <w:t xml:space="preserve"> i </w:t>
      </w:r>
      <w:proofErr w:type="spellStart"/>
      <w:r w:rsidR="00A511FD" w:rsidRPr="00A124C2">
        <w:rPr>
          <w:bCs/>
        </w:rPr>
        <w:t>poslijedoktoranada</w:t>
      </w:r>
      <w:proofErr w:type="spellEnd"/>
      <w:r w:rsidR="00A511FD" w:rsidRPr="00A124C2">
        <w:rPr>
          <w:bCs/>
        </w:rPr>
        <w:t xml:space="preserve"> zaposlenih na teret HRZZ-a. Od navedenih prihoda financiraju se rashodi za zaposlene, materijalni troškovi poslovanja, tekuće i investicijsko održavanje, nabava dugotrajne imovine i ulaganje u dugotrajnu imovinu.</w:t>
      </w:r>
    </w:p>
    <w:p w14:paraId="223595F0" w14:textId="73D349F0" w:rsidR="00331F5C" w:rsidRPr="00A124C2" w:rsidRDefault="00331F5C" w:rsidP="00331F5C">
      <w:pPr>
        <w:jc w:val="both"/>
        <w:rPr>
          <w:bCs/>
        </w:rPr>
      </w:pPr>
    </w:p>
    <w:p w14:paraId="3B7BE479" w14:textId="53D0ADAB" w:rsidR="00A511FD" w:rsidRPr="00331F5C" w:rsidRDefault="00A511FD" w:rsidP="00C11138">
      <w:pPr>
        <w:pStyle w:val="ListParagraph"/>
        <w:numPr>
          <w:ilvl w:val="0"/>
          <w:numId w:val="2"/>
        </w:numPr>
        <w:jc w:val="both"/>
        <w:rPr>
          <w:bCs/>
        </w:rPr>
      </w:pPr>
      <w:r w:rsidRPr="00A124C2">
        <w:rPr>
          <w:b/>
          <w:bCs/>
        </w:rPr>
        <w:t>Na izvoru 61</w:t>
      </w:r>
      <w:r w:rsidRPr="00A124C2">
        <w:rPr>
          <w:bCs/>
        </w:rPr>
        <w:t xml:space="preserve"> </w:t>
      </w:r>
      <w:r w:rsidR="00D7679A" w:rsidRPr="00A124C2">
        <w:rPr>
          <w:bCs/>
        </w:rPr>
        <w:t xml:space="preserve">– </w:t>
      </w:r>
      <w:r w:rsidRPr="00A124C2">
        <w:rPr>
          <w:bCs/>
        </w:rPr>
        <w:t xml:space="preserve">planirani su prihodi </w:t>
      </w:r>
      <w:r w:rsidR="009929F1">
        <w:rPr>
          <w:bCs/>
        </w:rPr>
        <w:t>i rashodi u iznosu od 37.508 €. Odnosi se na rashode u projektu gdje je Stomatološki fakultet partner trgovačkom društvu koje dobiva sredstva iz strukturnih EU fondova.</w:t>
      </w:r>
    </w:p>
    <w:p w14:paraId="4D930DED" w14:textId="5CE11E6F" w:rsidR="00331F5C" w:rsidRPr="00331F5C" w:rsidRDefault="00331F5C" w:rsidP="00331F5C">
      <w:pPr>
        <w:jc w:val="both"/>
        <w:rPr>
          <w:bCs/>
        </w:rPr>
      </w:pPr>
    </w:p>
    <w:p w14:paraId="7E831968" w14:textId="298654C8" w:rsidR="00225E0B" w:rsidRDefault="00D7679A" w:rsidP="00C11138">
      <w:pPr>
        <w:pStyle w:val="ListParagraph"/>
        <w:numPr>
          <w:ilvl w:val="0"/>
          <w:numId w:val="2"/>
        </w:numPr>
        <w:jc w:val="both"/>
        <w:rPr>
          <w:bCs/>
        </w:rPr>
      </w:pPr>
      <w:r w:rsidRPr="00A124C2">
        <w:rPr>
          <w:b/>
          <w:bCs/>
        </w:rPr>
        <w:t>Na izvoru 71 –</w:t>
      </w:r>
      <w:r w:rsidR="00A511FD" w:rsidRPr="00A124C2">
        <w:rPr>
          <w:bCs/>
        </w:rPr>
        <w:t xml:space="preserve"> </w:t>
      </w:r>
      <w:r w:rsidRPr="00A124C2">
        <w:rPr>
          <w:bCs/>
        </w:rPr>
        <w:t xml:space="preserve">planirani su prihodi </w:t>
      </w:r>
      <w:r w:rsidR="00A511FD" w:rsidRPr="00A124C2">
        <w:rPr>
          <w:bCs/>
        </w:rPr>
        <w:t xml:space="preserve">od </w:t>
      </w:r>
      <w:r w:rsidR="001944B1" w:rsidRPr="00A124C2">
        <w:rPr>
          <w:bCs/>
        </w:rPr>
        <w:t>otkupa stanova čiji će se prihod</w:t>
      </w:r>
      <w:r w:rsidR="00A511FD" w:rsidRPr="00A124C2">
        <w:rPr>
          <w:bCs/>
        </w:rPr>
        <w:t xml:space="preserve"> u potpunosti pokrit</w:t>
      </w:r>
      <w:r w:rsidR="001D1516">
        <w:rPr>
          <w:bCs/>
        </w:rPr>
        <w:t>i kupnjom nefinancijske imovine</w:t>
      </w:r>
      <w:r w:rsidR="00145113">
        <w:rPr>
          <w:bCs/>
        </w:rPr>
        <w:t xml:space="preserve"> u iznosu od 350 €</w:t>
      </w:r>
      <w:r w:rsidR="001D1516">
        <w:rPr>
          <w:bCs/>
        </w:rPr>
        <w:t>.</w:t>
      </w:r>
    </w:p>
    <w:p w14:paraId="5B6DB17A" w14:textId="77777777" w:rsidR="00331F5C" w:rsidRPr="00331F5C" w:rsidRDefault="00331F5C" w:rsidP="00331F5C">
      <w:pPr>
        <w:pStyle w:val="ListParagraph"/>
        <w:rPr>
          <w:bCs/>
        </w:rPr>
      </w:pPr>
    </w:p>
    <w:p w14:paraId="0025508D" w14:textId="11170B83" w:rsidR="00331F5C" w:rsidRDefault="00331F5C" w:rsidP="00331F5C">
      <w:pPr>
        <w:jc w:val="both"/>
        <w:rPr>
          <w:bCs/>
        </w:rPr>
      </w:pPr>
    </w:p>
    <w:p w14:paraId="3C214CCD" w14:textId="45401B6E" w:rsidR="00331F5C" w:rsidRDefault="00331F5C" w:rsidP="00331F5C">
      <w:pPr>
        <w:jc w:val="both"/>
        <w:rPr>
          <w:bCs/>
        </w:rPr>
      </w:pPr>
    </w:p>
    <w:p w14:paraId="47691D88" w14:textId="7136CD5F" w:rsidR="00331F5C" w:rsidRDefault="00331F5C" w:rsidP="00331F5C">
      <w:pPr>
        <w:jc w:val="both"/>
        <w:rPr>
          <w:bCs/>
        </w:rPr>
      </w:pPr>
    </w:p>
    <w:p w14:paraId="5E71A5D4" w14:textId="257B0E3C" w:rsidR="00331F5C" w:rsidRDefault="00331F5C" w:rsidP="00331F5C">
      <w:pPr>
        <w:jc w:val="both"/>
        <w:rPr>
          <w:bCs/>
        </w:rPr>
      </w:pPr>
    </w:p>
    <w:p w14:paraId="7CDDDEB9" w14:textId="32A9A7B8" w:rsidR="00331F5C" w:rsidRDefault="00331F5C" w:rsidP="00331F5C">
      <w:pPr>
        <w:jc w:val="both"/>
        <w:rPr>
          <w:bCs/>
        </w:rPr>
      </w:pPr>
    </w:p>
    <w:p w14:paraId="319406E6" w14:textId="1C691A8C" w:rsidR="00331F5C" w:rsidRDefault="00331F5C" w:rsidP="00331F5C">
      <w:pPr>
        <w:jc w:val="both"/>
        <w:rPr>
          <w:bCs/>
        </w:rPr>
      </w:pPr>
    </w:p>
    <w:p w14:paraId="072C2DD3" w14:textId="2B5A7715" w:rsidR="00331F5C" w:rsidRDefault="00331F5C" w:rsidP="00331F5C">
      <w:pPr>
        <w:jc w:val="both"/>
        <w:rPr>
          <w:bCs/>
        </w:rPr>
      </w:pPr>
    </w:p>
    <w:p w14:paraId="4897282F" w14:textId="6149554E" w:rsidR="00331F5C" w:rsidRDefault="00331F5C" w:rsidP="00331F5C">
      <w:pPr>
        <w:jc w:val="both"/>
        <w:rPr>
          <w:bCs/>
        </w:rPr>
      </w:pPr>
    </w:p>
    <w:p w14:paraId="555A8121" w14:textId="0FA84797" w:rsidR="00331F5C" w:rsidRDefault="00331F5C" w:rsidP="00331F5C">
      <w:pPr>
        <w:jc w:val="both"/>
        <w:rPr>
          <w:bCs/>
        </w:rPr>
      </w:pPr>
    </w:p>
    <w:p w14:paraId="45CF221B" w14:textId="390B28A6" w:rsidR="00D04E34" w:rsidRDefault="00D04E34" w:rsidP="00331F5C">
      <w:pPr>
        <w:jc w:val="both"/>
        <w:rPr>
          <w:bCs/>
        </w:rPr>
      </w:pPr>
    </w:p>
    <w:p w14:paraId="7C232D89" w14:textId="4E928AD9" w:rsidR="00D04E34" w:rsidRDefault="00D04E34" w:rsidP="00331F5C">
      <w:pPr>
        <w:jc w:val="both"/>
        <w:rPr>
          <w:bCs/>
        </w:rPr>
      </w:pPr>
    </w:p>
    <w:p w14:paraId="66E58CE2" w14:textId="2AA9ADDD" w:rsidR="00D04E34" w:rsidRDefault="00D04E34" w:rsidP="00331F5C">
      <w:pPr>
        <w:jc w:val="both"/>
        <w:rPr>
          <w:bCs/>
        </w:rPr>
      </w:pPr>
    </w:p>
    <w:p w14:paraId="4A7FD326" w14:textId="05E8C229" w:rsidR="00D04E34" w:rsidRDefault="00D04E34" w:rsidP="00331F5C">
      <w:pPr>
        <w:jc w:val="both"/>
        <w:rPr>
          <w:bCs/>
        </w:rPr>
      </w:pPr>
    </w:p>
    <w:p w14:paraId="4D6D5D76" w14:textId="2032C85C" w:rsidR="00D04E34" w:rsidRDefault="00D04E34" w:rsidP="00331F5C">
      <w:pPr>
        <w:jc w:val="both"/>
        <w:rPr>
          <w:bCs/>
        </w:rPr>
      </w:pPr>
    </w:p>
    <w:p w14:paraId="573D32E8" w14:textId="389BCB0D" w:rsidR="00D04E34" w:rsidRDefault="00D04E34" w:rsidP="00331F5C">
      <w:pPr>
        <w:jc w:val="both"/>
        <w:rPr>
          <w:bCs/>
        </w:rPr>
      </w:pPr>
    </w:p>
    <w:p w14:paraId="7C9CAE26" w14:textId="4100814B" w:rsidR="00F937CA" w:rsidRPr="00F937CA" w:rsidRDefault="00F937CA" w:rsidP="00F937CA">
      <w:pPr>
        <w:jc w:val="both"/>
        <w:rPr>
          <w:bCs/>
        </w:rPr>
      </w:pPr>
    </w:p>
    <w:p w14:paraId="0F51BB65" w14:textId="78952832" w:rsidR="00272EE4" w:rsidRPr="00A124C2" w:rsidRDefault="00272EE4" w:rsidP="00C11138">
      <w:pPr>
        <w:jc w:val="both"/>
      </w:pPr>
      <w:bookmarkStart w:id="0" w:name="_GoBack"/>
      <w:bookmarkEnd w:id="0"/>
      <w:r w:rsidRPr="00A124C2">
        <w:rPr>
          <w:b/>
          <w:bCs/>
        </w:rPr>
        <w:lastRenderedPageBreak/>
        <w:t xml:space="preserve">CILJ 1. NASTAVNA DJELATNOST </w:t>
      </w:r>
    </w:p>
    <w:p w14:paraId="4D8EC4B8" w14:textId="77777777" w:rsidR="00272EE4" w:rsidRPr="00A124C2" w:rsidRDefault="00272EE4" w:rsidP="00C11138">
      <w:pPr>
        <w:jc w:val="both"/>
        <w:rPr>
          <w:b/>
          <w:bCs/>
        </w:rPr>
      </w:pPr>
      <w:r w:rsidRPr="00A124C2">
        <w:rPr>
          <w:b/>
          <w:bCs/>
        </w:rPr>
        <w:t xml:space="preserve">OBRAZLOŽENJE CILJA </w:t>
      </w:r>
    </w:p>
    <w:p w14:paraId="791D9511" w14:textId="77777777" w:rsidR="00272EE4" w:rsidRPr="00A124C2" w:rsidRDefault="00272EE4" w:rsidP="00C11138">
      <w:pPr>
        <w:jc w:val="both"/>
        <w:rPr>
          <w:b/>
          <w:bCs/>
        </w:rPr>
      </w:pPr>
    </w:p>
    <w:p w14:paraId="7EEC9F4A" w14:textId="7C1DEAFF" w:rsidR="00272EE4" w:rsidRPr="00A124C2" w:rsidRDefault="00272EE4" w:rsidP="00C11138">
      <w:pPr>
        <w:jc w:val="both"/>
      </w:pPr>
      <w:r w:rsidRPr="00A124C2">
        <w:t>Stomatološki fakultet u Zagrebu svoju nastavnu djelatnost ostvaruje obrazovanjem stručnjaka kroz integrirani preddiplomski i diplomski sveučilišni studij Dentalna medicina, istovrstan studij na engleskom jeziku, doktorski studij, te specijalističke studije. Stomatološki fakultet nastoji postići visoku kvalitetu obrazovanja educirajući studente dentalne medicine osim u području rada doktora dentalne medicine i sa svim potrebnim znanjima iz bazičnih biomedicinskih znanosti te opće medicine. Na taj način želi se educirati budući doktor dentalne medicine koji je kompetentan pružati dentalnu zdravstvenu skrb za čitavu populaciju. U ostvarenju tog cilja nužno je osigurati visoku kvalitetu predavanja, seminara i kliničkih vježbi osobito bitnih za manualnu spretnost i budući rad doktora dentalne medicine, te adekvatnu provjeru znanja kako bi se i ostvarili zadani ishodi učenja u studijskom programu. Stoga se potiču studenti integriranog studija, te doktorskog i specijalističkih studija na uključivanje u anketiranje nastave (ocjenjivanje sastavnih segmenata nastave i samih nastavnika) kako bi se postigla što realnija ocjena kvalitete postojeće nastave i dobile smjernice za njeno unaprjeđenje. To pak rezultira povećanjem broja studenata koji stječu minimalno 55 ECTS bodova  u akademskoj godini, odnosno povećanjem razmjera broja upisanih i diplomiranih studenata.</w:t>
      </w:r>
    </w:p>
    <w:p w14:paraId="4C60F34B" w14:textId="77777777" w:rsidR="00832201" w:rsidRPr="00A124C2" w:rsidRDefault="00832201" w:rsidP="00C11138">
      <w:pPr>
        <w:jc w:val="both"/>
      </w:pPr>
    </w:p>
    <w:p w14:paraId="5E9E31C4" w14:textId="7007AD1A" w:rsidR="00832201" w:rsidRPr="00A124C2" w:rsidRDefault="00832201" w:rsidP="00C11138">
      <w:pPr>
        <w:jc w:val="both"/>
        <w:rPr>
          <w:b/>
          <w:bCs/>
        </w:rPr>
      </w:pPr>
      <w:r w:rsidRPr="00A124C2">
        <w:rPr>
          <w:b/>
        </w:rPr>
        <w:t xml:space="preserve">1.1. </w:t>
      </w:r>
      <w:r w:rsidRPr="00A124C2">
        <w:rPr>
          <w:b/>
          <w:bCs/>
        </w:rPr>
        <w:t>Unaprjeđenje kliničke nastave s pacijentima</w:t>
      </w:r>
    </w:p>
    <w:p w14:paraId="21DE4908" w14:textId="3E62614F" w:rsidR="00832201" w:rsidRPr="00A124C2" w:rsidRDefault="00832201" w:rsidP="00C11138">
      <w:pPr>
        <w:spacing w:after="160"/>
        <w:jc w:val="both"/>
        <w:rPr>
          <w:bCs/>
        </w:rPr>
      </w:pPr>
      <w:r w:rsidRPr="00A124C2">
        <w:rPr>
          <w:bCs/>
        </w:rPr>
        <w:t xml:space="preserve">Izobrazba doktora dentalne medicine  neizostavno uključuje studentsku praksu kroz stomatološki klinički rad s pacijentima. Na Stomatološkom fakultetu se svaki dan obradi nekoliko stotina  pacijenata iz cijele Hrvatske što ima ogromnu nastavu vrijednost za studente koji obradom tolikog broja pacijenata dobivaju važne vještine i kompetencije te bivaju spremniji i konkurentniji na tržištu rada po završetku studija. Stomatološki klinički rad se obavlja na stomatološkim jedinicama (stolcima) kojih na fakultetu ima 90. Njihova prosječna starost je 19 godina (65 stolaca je starije od 20 godina) i vrlo su dotrajali zbog čega se učestalo kvare i ne služe svojoj svrsi što izravno utječe na kvalitetu kliničke nastave. U sklopu ove aktivnosti bi se 13 stomatoloških jedinica koje su starije od 20 godina zamijenilo novim, suvremenim jedinicama koje bi unaprijedile kliničku nastavu i </w:t>
      </w:r>
      <w:proofErr w:type="spellStart"/>
      <w:r w:rsidRPr="00A124C2">
        <w:rPr>
          <w:bCs/>
        </w:rPr>
        <w:t>i</w:t>
      </w:r>
      <w:proofErr w:type="spellEnd"/>
      <w:r w:rsidRPr="00A124C2">
        <w:rPr>
          <w:bCs/>
        </w:rPr>
        <w:t xml:space="preserve"> omogućile rad s pacijentima na kvalitetan i primjeren način. S obzirom da ugradnja novih stolaca zahtjeva i složenije građevinske radove kako bi se za svaki stolac dovele potrebne instalacije, Fakultet bi dijelom sufinancirao građevinske radove ukoliko bi se unutar programskog ugovora našla sredstva za stomatološke jedinice. </w:t>
      </w:r>
    </w:p>
    <w:p w14:paraId="2093D89C" w14:textId="20452E7B" w:rsidR="00C53345" w:rsidRPr="00A124C2" w:rsidRDefault="00832201" w:rsidP="00C11138">
      <w:pPr>
        <w:spacing w:after="160"/>
        <w:jc w:val="both"/>
        <w:rPr>
          <w:bCs/>
        </w:rPr>
      </w:pPr>
      <w:r w:rsidRPr="00A124C2">
        <w:rPr>
          <w:bCs/>
        </w:rPr>
        <w:t>Svrha aktivnosti je modernizirati kliničku nastavu na Stomatološkom fakultetu zamjenom dotrajalih stomatoloških jedinica novim, suvremenim uređajima koji omogućuju kvalitetan i siguran rad s pacijentima te stjecanje ključnih kliničkih vještina studenata. Ugradnja novih jedinica poboljšat će uvjete rada studenata i nastavnika, povećati konkurentnost budućih doktora dentalne medicine na tržištu rada te doprinijeti održivosti jer su nove jedinice energetski učinkovitije i ekološki prihvatljivije. Provedbom ove aktivnosti značajno će se unaprijediti kvaliteta obrazovanja i kliničkog rada na fakultetu.</w:t>
      </w:r>
    </w:p>
    <w:p w14:paraId="4897105B" w14:textId="60A344FB" w:rsidR="00C53345" w:rsidRPr="00A124C2" w:rsidRDefault="00C53345" w:rsidP="00C11138">
      <w:pPr>
        <w:spacing w:after="160"/>
        <w:rPr>
          <w:b/>
          <w:bCs/>
        </w:rPr>
      </w:pPr>
      <w:r w:rsidRPr="00A124C2">
        <w:rPr>
          <w:b/>
          <w:bCs/>
        </w:rPr>
        <w:t>1.2. Digitalizacija i unaprjeđenje laboratorijske nastave iz kliničkih stomatoloških predmeta</w:t>
      </w:r>
    </w:p>
    <w:p w14:paraId="7ED8836C" w14:textId="76E715C3" w:rsidR="000F3D6C" w:rsidRPr="00A124C2" w:rsidRDefault="00C53345" w:rsidP="00C11138">
      <w:pPr>
        <w:spacing w:after="160"/>
        <w:jc w:val="both"/>
        <w:rPr>
          <w:bCs/>
        </w:rPr>
      </w:pPr>
      <w:r w:rsidRPr="00A124C2">
        <w:rPr>
          <w:bCs/>
        </w:rPr>
        <w:t xml:space="preserve">Digitalna zubna tehnika, koja uključuje CAD/CAM sustave postala je standard u područjima fiksne i mobilne protetike, </w:t>
      </w:r>
      <w:proofErr w:type="spellStart"/>
      <w:r w:rsidRPr="00A124C2">
        <w:rPr>
          <w:bCs/>
        </w:rPr>
        <w:t>implantoprotetike</w:t>
      </w:r>
      <w:proofErr w:type="spellEnd"/>
      <w:r w:rsidRPr="00A124C2">
        <w:rPr>
          <w:bCs/>
        </w:rPr>
        <w:t xml:space="preserve">, </w:t>
      </w:r>
      <w:proofErr w:type="spellStart"/>
      <w:r w:rsidRPr="00A124C2">
        <w:rPr>
          <w:bCs/>
        </w:rPr>
        <w:t>ortodoncije</w:t>
      </w:r>
      <w:proofErr w:type="spellEnd"/>
      <w:r w:rsidRPr="00A124C2">
        <w:rPr>
          <w:bCs/>
        </w:rPr>
        <w:t xml:space="preserve"> te estetske stomatologije. Korištenje digitalnih tehnologija omogućuje veću preciznost, kraće vrijeme izrade i bolju predvidljivost ishoda terapije.  Aktivnost obuhvaća unapređenje, modernizaciju i digitalizaciju nastave iz stomatološke protetike kroz nabavu </w:t>
      </w:r>
      <w:proofErr w:type="spellStart"/>
      <w:r w:rsidRPr="00A124C2">
        <w:rPr>
          <w:bCs/>
        </w:rPr>
        <w:t>intraoralnih</w:t>
      </w:r>
      <w:proofErr w:type="spellEnd"/>
      <w:r w:rsidRPr="00A124C2">
        <w:rPr>
          <w:bCs/>
        </w:rPr>
        <w:t xml:space="preserve"> i laboratorijskih skenera, glodalica i 3D pisača te softvera za digitalizaciju rada u zubotehničkom laboratoriju. Obnovom zastarjele opreme i implementacijom novih tehnologija studenti će usvajati suvremene vještine iz područja digitalne stomatologije s naglaskom na stomatološku protetiku koja je neizostavan dio moderne stomatologije. Aktivnost uključuje i edukaciju nastavnog i nenastavnog osoblja za rad s novim sustavima te uspostavu suradnje s dentalnim laboratorijima i proizvođačima opreme radi prijenosa znanja i iskustava. Digitalizacija </w:t>
      </w:r>
      <w:r w:rsidRPr="00A124C2">
        <w:rPr>
          <w:bCs/>
        </w:rPr>
        <w:lastRenderedPageBreak/>
        <w:t xml:space="preserve">laboratorija omogućit će realno simuliranje složenih kliničkih situacija, bržu i precizniju izradu </w:t>
      </w:r>
      <w:proofErr w:type="spellStart"/>
      <w:r w:rsidRPr="00A124C2">
        <w:rPr>
          <w:bCs/>
        </w:rPr>
        <w:t>protetskih</w:t>
      </w:r>
      <w:proofErr w:type="spellEnd"/>
      <w:r w:rsidRPr="00A124C2">
        <w:rPr>
          <w:bCs/>
        </w:rPr>
        <w:t xml:space="preserve"> radova te integraciju virtualnog planiranja u nastavni proces. Time se značajno povećava kvaliteta i atraktivnost studijskog programa, jačaju kompetencije studenata te konkurentnost diplomiranih doktora dentalne medicine na tržištu rada. </w:t>
      </w:r>
    </w:p>
    <w:p w14:paraId="54E4F221" w14:textId="06AAC029" w:rsidR="002E0F3A" w:rsidRPr="00A124C2" w:rsidRDefault="002E0F3A" w:rsidP="00C11138">
      <w:pPr>
        <w:spacing w:after="160"/>
        <w:rPr>
          <w:b/>
          <w:bCs/>
        </w:rPr>
      </w:pPr>
      <w:r w:rsidRPr="00A124C2">
        <w:rPr>
          <w:b/>
          <w:bCs/>
        </w:rPr>
        <w:t>1.3. Osuvremenjivanje metoda poučavanja, stjecanja i provjere znanja</w:t>
      </w:r>
    </w:p>
    <w:p w14:paraId="6553A4C4" w14:textId="38581FA6" w:rsidR="002E0F3A" w:rsidRPr="00A124C2" w:rsidRDefault="002E0F3A" w:rsidP="00C11138">
      <w:pPr>
        <w:spacing w:after="160"/>
        <w:jc w:val="both"/>
        <w:rPr>
          <w:bCs/>
        </w:rPr>
      </w:pPr>
      <w:r w:rsidRPr="00A124C2">
        <w:rPr>
          <w:bCs/>
        </w:rPr>
        <w:t xml:space="preserve">Aktivnost obuhvaća modernizaciju nastavnog procesa digitalizacijom </w:t>
      </w:r>
      <w:proofErr w:type="spellStart"/>
      <w:r w:rsidRPr="00A124C2">
        <w:rPr>
          <w:bCs/>
        </w:rPr>
        <w:t>pretkliničkih</w:t>
      </w:r>
      <w:proofErr w:type="spellEnd"/>
      <w:r w:rsidRPr="00A124C2">
        <w:rPr>
          <w:bCs/>
        </w:rPr>
        <w:t xml:space="preserve"> i kliničkih stomatoloških predmeta korištenjem </w:t>
      </w:r>
      <w:proofErr w:type="spellStart"/>
      <w:r w:rsidRPr="00A124C2">
        <w:rPr>
          <w:bCs/>
        </w:rPr>
        <w:t>intraoralnih</w:t>
      </w:r>
      <w:proofErr w:type="spellEnd"/>
      <w:r w:rsidRPr="00A124C2">
        <w:rPr>
          <w:bCs/>
        </w:rPr>
        <w:t xml:space="preserve"> skenera, 3D printera i artikulatora, nabavu licencija za korištenje potrebnih statističkih paketa i sl. Uvest će se napredni softveri i uređaji za vrednovanje stomatoloških vještina te inovativni sustavi za provjeru znanja. Za nastavnike će se organizirati edukacije radi jačanja kompetencija u primjeni digitalnih tehnologija u poučavanju i ocjenjivanju. </w:t>
      </w:r>
      <w:r w:rsidR="002531BD" w:rsidRPr="00A124C2">
        <w:rPr>
          <w:bCs/>
        </w:rPr>
        <w:t>Nabava obuhvaća opremu, licence i programska rješenja potrebna za provedbu aktivnosti. Troškovi uključuju, godišnje licence za provjeru znanja, uređaje i softver za vrednovanje vještina.</w:t>
      </w:r>
      <w:r w:rsidRPr="00A124C2">
        <w:rPr>
          <w:bCs/>
        </w:rPr>
        <w:t xml:space="preserve"> Aktivnost doprinosi modernizaciji studijskih programa, optimizaciji rada Fakulteta i jačanju društvenog angažmana kroz osposobljavanje budućih doktora dentalne medicine za rad u suvremenom digitalnom okruženju.</w:t>
      </w:r>
    </w:p>
    <w:p w14:paraId="10384843" w14:textId="70C7FF03" w:rsidR="00E502FA" w:rsidRPr="00A124C2" w:rsidRDefault="00E502FA" w:rsidP="00C11138">
      <w:pPr>
        <w:rPr>
          <w:b/>
          <w:color w:val="000000"/>
        </w:rPr>
      </w:pPr>
      <w:r w:rsidRPr="00A124C2">
        <w:rPr>
          <w:b/>
          <w:color w:val="000000"/>
        </w:rPr>
        <w:t>1.</w:t>
      </w:r>
      <w:r w:rsidR="002E0F3A" w:rsidRPr="00A124C2">
        <w:rPr>
          <w:b/>
          <w:color w:val="000000"/>
        </w:rPr>
        <w:t>4</w:t>
      </w:r>
      <w:r w:rsidRPr="00A124C2">
        <w:rPr>
          <w:b/>
          <w:color w:val="000000"/>
        </w:rPr>
        <w:t>. Jačanje nastavničkih kompetencija nastavnika Stomatološkog fakulteta</w:t>
      </w:r>
    </w:p>
    <w:p w14:paraId="438F1A1D" w14:textId="77777777" w:rsidR="000F3D6C" w:rsidRPr="00A124C2" w:rsidRDefault="000F3D6C" w:rsidP="00C11138">
      <w:pPr>
        <w:rPr>
          <w:b/>
          <w:color w:val="000000"/>
        </w:rPr>
      </w:pPr>
    </w:p>
    <w:p w14:paraId="56A7CC4C" w14:textId="64CE71CA" w:rsidR="00272EE4" w:rsidRPr="00C11138" w:rsidRDefault="00E502FA" w:rsidP="00C11138">
      <w:pPr>
        <w:spacing w:after="160"/>
        <w:jc w:val="both"/>
        <w:rPr>
          <w:bCs/>
        </w:rPr>
      </w:pPr>
      <w:r w:rsidRPr="00A124C2">
        <w:rPr>
          <w:bCs/>
        </w:rPr>
        <w:t>Ova aktivnost ima za cilj sustavno jačanje nastavničkih kompetencija nastavnika Stomatološkog fakulteta kako bi se unaprijedila kvaliteta izvođenja nastave i modernizirali studijski programi. Odabrani nastavnici imat će priliku pohađati akreditirane obrazovne programe koje provode sastavnice Sveučilišta u Zagrebu (npr. Filozofski fakultet, Učiteljski fakultet) te druge visokoškolske ili specijalizirane ustanove u Hrvatskoj i inozemstvu. Edukacije, čija je cijena u prosjeku 3.000–5.000 eura po polazniku, usmjerene su na razvoj pedagoških, metodičkih i evaluacijskih vještina, te na integraciju suvremenih metoda poučavanja i digitalnih alata. Aktivnost će biti obvezna za sve nove nastavnike koji ulaze u sustav, a poziv za prijave raspisivat će se jednom godišnje. Broj sudionika ovisit će o raspoloživim sredstvima. Dugoročno, ovakav pristup osigurava veću angažiranost studenata, podizanje kvalitete studijskih programa i usklađivanje nastavnih metoda s europskim standardima.</w:t>
      </w:r>
    </w:p>
    <w:p w14:paraId="7E556788" w14:textId="77777777" w:rsidR="00272EE4" w:rsidRPr="00A124C2" w:rsidRDefault="00272EE4" w:rsidP="00C11138">
      <w:pPr>
        <w:jc w:val="both"/>
        <w:rPr>
          <w:b/>
          <w:bCs/>
        </w:rPr>
      </w:pPr>
      <w:r w:rsidRPr="00A124C2">
        <w:rPr>
          <w:b/>
          <w:bCs/>
        </w:rPr>
        <w:t>POKAZATELJI UČINKA</w:t>
      </w:r>
    </w:p>
    <w:p w14:paraId="2D71CA23" w14:textId="77777777" w:rsidR="00272EE4" w:rsidRPr="00A124C2" w:rsidRDefault="00272EE4" w:rsidP="00C11138">
      <w:pPr>
        <w:jc w:val="both"/>
        <w:rPr>
          <w:b/>
          <w:bCs/>
          <w:color w:val="FF0000"/>
        </w:rPr>
      </w:pPr>
      <w:r w:rsidRPr="00A124C2">
        <w:rPr>
          <w:b/>
          <w:bCs/>
          <w:color w:val="FF0000"/>
        </w:rPr>
        <w:t xml:space="preserve"> </w:t>
      </w:r>
    </w:p>
    <w:tbl>
      <w:tblPr>
        <w:tblW w:w="9683" w:type="dxa"/>
        <w:tblInd w:w="93" w:type="dxa"/>
        <w:tblLayout w:type="fixed"/>
        <w:tblLook w:val="00A0" w:firstRow="1" w:lastRow="0" w:firstColumn="1" w:lastColumn="0" w:noHBand="0" w:noVBand="0"/>
      </w:tblPr>
      <w:tblGrid>
        <w:gridCol w:w="1603"/>
        <w:gridCol w:w="1276"/>
        <w:gridCol w:w="1134"/>
        <w:gridCol w:w="1134"/>
        <w:gridCol w:w="1276"/>
        <w:gridCol w:w="1134"/>
        <w:gridCol w:w="1105"/>
        <w:gridCol w:w="1021"/>
      </w:tblGrid>
      <w:tr w:rsidR="00272EE4" w:rsidRPr="00A124C2" w14:paraId="08F669FF" w14:textId="77777777" w:rsidTr="00067055">
        <w:trPr>
          <w:trHeight w:val="691"/>
        </w:trPr>
        <w:tc>
          <w:tcPr>
            <w:tcW w:w="160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16472C4" w14:textId="77777777" w:rsidR="00272EE4" w:rsidRPr="00A124C2" w:rsidRDefault="00272EE4" w:rsidP="00C11138">
            <w:pPr>
              <w:jc w:val="center"/>
              <w:rPr>
                <w:b/>
                <w:bCs/>
                <w:sz w:val="18"/>
                <w:szCs w:val="18"/>
              </w:rPr>
            </w:pPr>
            <w:r w:rsidRPr="00A124C2">
              <w:rPr>
                <w:b/>
                <w:bCs/>
                <w:sz w:val="18"/>
                <w:szCs w:val="18"/>
              </w:rPr>
              <w:t>Pokazatelj</w:t>
            </w:r>
          </w:p>
          <w:p w14:paraId="059378B6" w14:textId="77777777" w:rsidR="00272EE4" w:rsidRPr="00A124C2" w:rsidRDefault="00272EE4" w:rsidP="00C11138">
            <w:pPr>
              <w:jc w:val="center"/>
              <w:rPr>
                <w:b/>
                <w:bCs/>
                <w:sz w:val="18"/>
                <w:szCs w:val="18"/>
              </w:rPr>
            </w:pPr>
            <w:r w:rsidRPr="00A124C2">
              <w:rPr>
                <w:b/>
                <w:bCs/>
                <w:sz w:val="18"/>
                <w:szCs w:val="18"/>
              </w:rPr>
              <w:t>rezultata</w:t>
            </w:r>
          </w:p>
          <w:p w14:paraId="058A97BE" w14:textId="77777777" w:rsidR="00272EE4" w:rsidRPr="00A124C2" w:rsidRDefault="00272EE4" w:rsidP="00C11138">
            <w:pPr>
              <w:jc w:val="center"/>
              <w:rPr>
                <w:b/>
                <w:bCs/>
                <w:sz w:val="18"/>
                <w:szCs w:val="18"/>
              </w:rPr>
            </w:pPr>
          </w:p>
        </w:tc>
        <w:tc>
          <w:tcPr>
            <w:tcW w:w="1276" w:type="dxa"/>
            <w:tcBorders>
              <w:top w:val="single" w:sz="4" w:space="0" w:color="auto"/>
              <w:left w:val="nil"/>
              <w:bottom w:val="single" w:sz="4" w:space="0" w:color="auto"/>
              <w:right w:val="single" w:sz="4" w:space="0" w:color="auto"/>
            </w:tcBorders>
            <w:shd w:val="clear" w:color="auto" w:fill="D9D9D9"/>
            <w:vAlign w:val="center"/>
          </w:tcPr>
          <w:p w14:paraId="30EC06C9" w14:textId="77777777" w:rsidR="00272EE4" w:rsidRPr="00A124C2" w:rsidRDefault="00272EE4" w:rsidP="00C11138">
            <w:pPr>
              <w:jc w:val="center"/>
              <w:rPr>
                <w:b/>
                <w:bCs/>
                <w:sz w:val="18"/>
                <w:szCs w:val="18"/>
              </w:rPr>
            </w:pPr>
            <w:r w:rsidRPr="00A124C2">
              <w:rPr>
                <w:b/>
                <w:bCs/>
                <w:sz w:val="18"/>
                <w:szCs w:val="18"/>
              </w:rPr>
              <w:t>Definicija</w:t>
            </w:r>
          </w:p>
        </w:tc>
        <w:tc>
          <w:tcPr>
            <w:tcW w:w="1134" w:type="dxa"/>
            <w:tcBorders>
              <w:top w:val="single" w:sz="4" w:space="0" w:color="auto"/>
              <w:left w:val="nil"/>
              <w:bottom w:val="single" w:sz="4" w:space="0" w:color="auto"/>
              <w:right w:val="single" w:sz="4" w:space="0" w:color="auto"/>
            </w:tcBorders>
            <w:shd w:val="clear" w:color="auto" w:fill="D9D9D9"/>
            <w:vAlign w:val="center"/>
          </w:tcPr>
          <w:p w14:paraId="69CD0E68" w14:textId="77777777" w:rsidR="00272EE4" w:rsidRPr="00A124C2" w:rsidRDefault="00272EE4" w:rsidP="00C11138">
            <w:pPr>
              <w:jc w:val="center"/>
              <w:rPr>
                <w:b/>
                <w:bCs/>
                <w:sz w:val="18"/>
                <w:szCs w:val="18"/>
              </w:rPr>
            </w:pPr>
            <w:r w:rsidRPr="00A124C2">
              <w:rPr>
                <w:b/>
                <w:bCs/>
                <w:sz w:val="18"/>
                <w:szCs w:val="18"/>
              </w:rPr>
              <w:t>Jedinica</w:t>
            </w:r>
          </w:p>
        </w:tc>
        <w:tc>
          <w:tcPr>
            <w:tcW w:w="1134" w:type="dxa"/>
            <w:tcBorders>
              <w:top w:val="single" w:sz="4" w:space="0" w:color="auto"/>
              <w:left w:val="nil"/>
              <w:bottom w:val="single" w:sz="4" w:space="0" w:color="auto"/>
              <w:right w:val="single" w:sz="4" w:space="0" w:color="auto"/>
            </w:tcBorders>
            <w:shd w:val="clear" w:color="auto" w:fill="D9D9D9"/>
            <w:vAlign w:val="center"/>
          </w:tcPr>
          <w:p w14:paraId="7AAE9BCC" w14:textId="5D404381" w:rsidR="00272EE4" w:rsidRPr="00A124C2" w:rsidRDefault="00272EE4" w:rsidP="00C11138">
            <w:pPr>
              <w:jc w:val="center"/>
              <w:rPr>
                <w:b/>
                <w:bCs/>
                <w:sz w:val="18"/>
                <w:szCs w:val="18"/>
              </w:rPr>
            </w:pPr>
            <w:r w:rsidRPr="00A124C2">
              <w:rPr>
                <w:b/>
                <w:bCs/>
                <w:sz w:val="18"/>
                <w:szCs w:val="18"/>
              </w:rPr>
              <w:t>Polazna vrijednost</w:t>
            </w:r>
            <w:r w:rsidR="008A4752" w:rsidRPr="00A124C2">
              <w:rPr>
                <w:b/>
                <w:bCs/>
                <w:sz w:val="18"/>
                <w:szCs w:val="18"/>
              </w:rPr>
              <w:t xml:space="preserve"> 2025.</w:t>
            </w:r>
          </w:p>
        </w:tc>
        <w:tc>
          <w:tcPr>
            <w:tcW w:w="1276" w:type="dxa"/>
            <w:tcBorders>
              <w:top w:val="single" w:sz="4" w:space="0" w:color="auto"/>
              <w:left w:val="nil"/>
              <w:bottom w:val="single" w:sz="4" w:space="0" w:color="auto"/>
              <w:right w:val="single" w:sz="4" w:space="0" w:color="auto"/>
            </w:tcBorders>
            <w:shd w:val="clear" w:color="auto" w:fill="D9D9D9"/>
            <w:vAlign w:val="center"/>
          </w:tcPr>
          <w:p w14:paraId="179BD028" w14:textId="77777777" w:rsidR="00272EE4" w:rsidRPr="00A124C2" w:rsidRDefault="00272EE4" w:rsidP="00C11138">
            <w:pPr>
              <w:jc w:val="center"/>
              <w:rPr>
                <w:b/>
                <w:bCs/>
                <w:sz w:val="18"/>
                <w:szCs w:val="18"/>
              </w:rPr>
            </w:pPr>
            <w:r w:rsidRPr="00A124C2">
              <w:rPr>
                <w:b/>
                <w:bCs/>
                <w:sz w:val="18"/>
                <w:szCs w:val="18"/>
              </w:rPr>
              <w:t>Izvor podataka</w:t>
            </w:r>
          </w:p>
        </w:tc>
        <w:tc>
          <w:tcPr>
            <w:tcW w:w="1134" w:type="dxa"/>
            <w:tcBorders>
              <w:top w:val="single" w:sz="4" w:space="0" w:color="auto"/>
              <w:left w:val="nil"/>
              <w:bottom w:val="single" w:sz="4" w:space="0" w:color="auto"/>
              <w:right w:val="single" w:sz="4" w:space="0" w:color="auto"/>
            </w:tcBorders>
            <w:shd w:val="clear" w:color="auto" w:fill="D9D9D9"/>
            <w:vAlign w:val="center"/>
          </w:tcPr>
          <w:p w14:paraId="4F8D4980" w14:textId="22CD3A91" w:rsidR="00272EE4" w:rsidRPr="00A124C2" w:rsidRDefault="00272EE4" w:rsidP="00C11138">
            <w:pPr>
              <w:jc w:val="center"/>
              <w:rPr>
                <w:b/>
                <w:bCs/>
                <w:sz w:val="18"/>
                <w:szCs w:val="18"/>
              </w:rPr>
            </w:pPr>
            <w:r w:rsidRPr="00A124C2">
              <w:rPr>
                <w:b/>
                <w:bCs/>
                <w:sz w:val="18"/>
                <w:szCs w:val="18"/>
              </w:rPr>
              <w:t>Ciljana vrijednost 202</w:t>
            </w:r>
            <w:r w:rsidR="00832201" w:rsidRPr="00A124C2">
              <w:rPr>
                <w:b/>
                <w:bCs/>
                <w:sz w:val="18"/>
                <w:szCs w:val="18"/>
              </w:rPr>
              <w:t>6</w:t>
            </w:r>
            <w:r w:rsidRPr="00A124C2">
              <w:rPr>
                <w:b/>
                <w:bCs/>
                <w:sz w:val="18"/>
                <w:szCs w:val="18"/>
              </w:rPr>
              <w:t>.</w:t>
            </w:r>
          </w:p>
        </w:tc>
        <w:tc>
          <w:tcPr>
            <w:tcW w:w="1105" w:type="dxa"/>
            <w:tcBorders>
              <w:top w:val="single" w:sz="4" w:space="0" w:color="auto"/>
              <w:left w:val="nil"/>
              <w:bottom w:val="single" w:sz="4" w:space="0" w:color="auto"/>
              <w:right w:val="single" w:sz="4" w:space="0" w:color="auto"/>
            </w:tcBorders>
            <w:shd w:val="clear" w:color="auto" w:fill="D9D9D9"/>
            <w:vAlign w:val="center"/>
          </w:tcPr>
          <w:p w14:paraId="7A498B76" w14:textId="364C7EF4" w:rsidR="00272EE4" w:rsidRPr="00A124C2" w:rsidRDefault="00272EE4" w:rsidP="00C11138">
            <w:pPr>
              <w:jc w:val="center"/>
              <w:rPr>
                <w:b/>
                <w:bCs/>
                <w:sz w:val="18"/>
                <w:szCs w:val="18"/>
              </w:rPr>
            </w:pPr>
            <w:r w:rsidRPr="00A124C2">
              <w:rPr>
                <w:b/>
                <w:bCs/>
                <w:sz w:val="18"/>
                <w:szCs w:val="18"/>
              </w:rPr>
              <w:t>Ciljana vrijednost 202</w:t>
            </w:r>
            <w:r w:rsidR="00832201" w:rsidRPr="00A124C2">
              <w:rPr>
                <w:b/>
                <w:bCs/>
                <w:sz w:val="18"/>
                <w:szCs w:val="18"/>
              </w:rPr>
              <w:t>7</w:t>
            </w:r>
            <w:r w:rsidRPr="00A124C2">
              <w:rPr>
                <w:b/>
                <w:bCs/>
                <w:sz w:val="18"/>
                <w:szCs w:val="18"/>
              </w:rPr>
              <w:t>.</w:t>
            </w:r>
          </w:p>
        </w:tc>
        <w:tc>
          <w:tcPr>
            <w:tcW w:w="1021" w:type="dxa"/>
            <w:tcBorders>
              <w:top w:val="single" w:sz="4" w:space="0" w:color="auto"/>
              <w:left w:val="nil"/>
              <w:bottom w:val="single" w:sz="4" w:space="0" w:color="auto"/>
              <w:right w:val="single" w:sz="4" w:space="0" w:color="auto"/>
            </w:tcBorders>
            <w:shd w:val="clear" w:color="auto" w:fill="D9D9D9"/>
            <w:vAlign w:val="center"/>
          </w:tcPr>
          <w:p w14:paraId="72783782" w14:textId="2FAF2BE9" w:rsidR="00272EE4" w:rsidRPr="00A124C2" w:rsidRDefault="00272EE4" w:rsidP="00C11138">
            <w:pPr>
              <w:jc w:val="center"/>
              <w:rPr>
                <w:b/>
                <w:bCs/>
                <w:sz w:val="18"/>
                <w:szCs w:val="18"/>
              </w:rPr>
            </w:pPr>
            <w:r w:rsidRPr="00A124C2">
              <w:rPr>
                <w:b/>
                <w:bCs/>
                <w:sz w:val="18"/>
                <w:szCs w:val="18"/>
              </w:rPr>
              <w:t>Ciljana vrijednost 202</w:t>
            </w:r>
            <w:r w:rsidR="00832201" w:rsidRPr="00A124C2">
              <w:rPr>
                <w:b/>
                <w:bCs/>
                <w:sz w:val="18"/>
                <w:szCs w:val="18"/>
              </w:rPr>
              <w:t>8</w:t>
            </w:r>
            <w:r w:rsidRPr="00A124C2">
              <w:rPr>
                <w:b/>
                <w:bCs/>
                <w:sz w:val="18"/>
                <w:szCs w:val="18"/>
              </w:rPr>
              <w:t>.</w:t>
            </w:r>
          </w:p>
        </w:tc>
      </w:tr>
      <w:tr w:rsidR="00272EE4" w:rsidRPr="00A124C2" w14:paraId="4DCCC0CB" w14:textId="77777777" w:rsidTr="00067055">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704D012C" w14:textId="77777777" w:rsidR="00272EE4" w:rsidRPr="00A124C2" w:rsidRDefault="00272EE4" w:rsidP="00C11138">
            <w:pPr>
              <w:jc w:val="center"/>
              <w:rPr>
                <w:sz w:val="22"/>
                <w:szCs w:val="22"/>
              </w:rPr>
            </w:pPr>
            <w:r w:rsidRPr="00A124C2">
              <w:rPr>
                <w:sz w:val="22"/>
                <w:szCs w:val="22"/>
              </w:rPr>
              <w:t>Broj  studenata koji su stekli minimalno 55 ECTS bodova u protekloj ak. god. i ostvarili pravo upisa više godine studija</w:t>
            </w:r>
          </w:p>
        </w:tc>
        <w:tc>
          <w:tcPr>
            <w:tcW w:w="1276" w:type="dxa"/>
            <w:tcBorders>
              <w:top w:val="single" w:sz="4" w:space="0" w:color="auto"/>
              <w:left w:val="nil"/>
              <w:bottom w:val="single" w:sz="4" w:space="0" w:color="auto"/>
              <w:right w:val="single" w:sz="4" w:space="0" w:color="auto"/>
            </w:tcBorders>
            <w:noWrap/>
            <w:vAlign w:val="center"/>
          </w:tcPr>
          <w:p w14:paraId="5532F543" w14:textId="77777777" w:rsidR="00272EE4" w:rsidRPr="00A124C2" w:rsidRDefault="00272EE4" w:rsidP="00C11138">
            <w:pPr>
              <w:jc w:val="center"/>
              <w:rPr>
                <w:sz w:val="22"/>
                <w:szCs w:val="22"/>
              </w:rPr>
            </w:pPr>
            <w:r w:rsidRPr="00A124C2">
              <w:rPr>
                <w:sz w:val="22"/>
                <w:szCs w:val="22"/>
              </w:rPr>
              <w:t>Podizanje indeksa</w:t>
            </w:r>
          </w:p>
          <w:p w14:paraId="1EF7E3FB" w14:textId="77777777" w:rsidR="00272EE4" w:rsidRPr="00A124C2" w:rsidRDefault="00272EE4" w:rsidP="00C11138">
            <w:pPr>
              <w:jc w:val="center"/>
              <w:rPr>
                <w:sz w:val="22"/>
                <w:szCs w:val="22"/>
              </w:rPr>
            </w:pPr>
            <w:r w:rsidRPr="00A124C2">
              <w:rPr>
                <w:sz w:val="22"/>
                <w:szCs w:val="22"/>
              </w:rPr>
              <w:t>uspješnosti studiranja</w:t>
            </w:r>
          </w:p>
          <w:p w14:paraId="26F1E974" w14:textId="77777777" w:rsidR="00272EE4" w:rsidRPr="00A124C2" w:rsidRDefault="00272EE4" w:rsidP="00C11138">
            <w:pPr>
              <w:jc w:val="center"/>
              <w:rPr>
                <w:sz w:val="22"/>
                <w:szCs w:val="22"/>
              </w:rPr>
            </w:pPr>
          </w:p>
        </w:tc>
        <w:tc>
          <w:tcPr>
            <w:tcW w:w="1134" w:type="dxa"/>
            <w:tcBorders>
              <w:top w:val="single" w:sz="4" w:space="0" w:color="auto"/>
              <w:left w:val="nil"/>
              <w:bottom w:val="single" w:sz="4" w:space="0" w:color="auto"/>
              <w:right w:val="single" w:sz="4" w:space="0" w:color="auto"/>
            </w:tcBorders>
            <w:noWrap/>
            <w:vAlign w:val="center"/>
          </w:tcPr>
          <w:p w14:paraId="2995D5BE" w14:textId="77777777" w:rsidR="00272EE4" w:rsidRPr="00A124C2" w:rsidRDefault="00272EE4" w:rsidP="00C11138">
            <w:pPr>
              <w:jc w:val="center"/>
              <w:rPr>
                <w:sz w:val="22"/>
                <w:szCs w:val="22"/>
              </w:rPr>
            </w:pPr>
            <w:r w:rsidRPr="00A124C2">
              <w:rPr>
                <w:sz w:val="22"/>
                <w:szCs w:val="22"/>
              </w:rPr>
              <w:t>Postotak</w:t>
            </w:r>
          </w:p>
        </w:tc>
        <w:tc>
          <w:tcPr>
            <w:tcW w:w="1134" w:type="dxa"/>
            <w:tcBorders>
              <w:top w:val="single" w:sz="4" w:space="0" w:color="auto"/>
              <w:left w:val="nil"/>
              <w:bottom w:val="single" w:sz="4" w:space="0" w:color="auto"/>
              <w:right w:val="single" w:sz="4" w:space="0" w:color="auto"/>
            </w:tcBorders>
            <w:noWrap/>
            <w:vAlign w:val="center"/>
          </w:tcPr>
          <w:p w14:paraId="7435A240" w14:textId="77777777" w:rsidR="00272EE4" w:rsidRPr="00A124C2" w:rsidRDefault="00BE2F18" w:rsidP="00C11138">
            <w:pPr>
              <w:jc w:val="center"/>
              <w:rPr>
                <w:sz w:val="22"/>
                <w:szCs w:val="22"/>
              </w:rPr>
            </w:pPr>
            <w:r w:rsidRPr="00A124C2">
              <w:rPr>
                <w:sz w:val="22"/>
                <w:szCs w:val="22"/>
              </w:rPr>
              <w:t>88</w:t>
            </w:r>
            <w:r w:rsidR="00272EE4" w:rsidRPr="00A124C2">
              <w:rPr>
                <w:sz w:val="22"/>
                <w:szCs w:val="22"/>
              </w:rPr>
              <w:t>% ukupnog broja studenata</w:t>
            </w:r>
          </w:p>
        </w:tc>
        <w:tc>
          <w:tcPr>
            <w:tcW w:w="1276" w:type="dxa"/>
            <w:tcBorders>
              <w:top w:val="single" w:sz="4" w:space="0" w:color="auto"/>
              <w:left w:val="nil"/>
              <w:bottom w:val="single" w:sz="4" w:space="0" w:color="auto"/>
              <w:right w:val="single" w:sz="4" w:space="0" w:color="auto"/>
            </w:tcBorders>
            <w:noWrap/>
            <w:vAlign w:val="center"/>
          </w:tcPr>
          <w:p w14:paraId="489E7559" w14:textId="77777777" w:rsidR="00272EE4" w:rsidRPr="00A124C2" w:rsidRDefault="00272EE4" w:rsidP="00C11138">
            <w:pPr>
              <w:jc w:val="center"/>
              <w:rPr>
                <w:sz w:val="22"/>
                <w:szCs w:val="22"/>
              </w:rPr>
            </w:pPr>
            <w:r w:rsidRPr="00A124C2">
              <w:rPr>
                <w:sz w:val="22"/>
                <w:szCs w:val="22"/>
              </w:rPr>
              <w:t>Prodekan za nastavu i studente / Služba za studente i trajnu izobrazbu</w:t>
            </w:r>
          </w:p>
        </w:tc>
        <w:tc>
          <w:tcPr>
            <w:tcW w:w="1134" w:type="dxa"/>
            <w:tcBorders>
              <w:top w:val="single" w:sz="4" w:space="0" w:color="auto"/>
              <w:left w:val="nil"/>
              <w:bottom w:val="single" w:sz="4" w:space="0" w:color="auto"/>
              <w:right w:val="single" w:sz="4" w:space="0" w:color="auto"/>
            </w:tcBorders>
            <w:noWrap/>
            <w:vAlign w:val="center"/>
          </w:tcPr>
          <w:p w14:paraId="0208BA2B" w14:textId="77777777" w:rsidR="00272EE4" w:rsidRPr="00A124C2" w:rsidRDefault="00272EE4" w:rsidP="00C11138">
            <w:pPr>
              <w:jc w:val="center"/>
              <w:rPr>
                <w:sz w:val="22"/>
                <w:szCs w:val="22"/>
              </w:rPr>
            </w:pPr>
            <w:r w:rsidRPr="00A124C2">
              <w:rPr>
                <w:sz w:val="22"/>
                <w:szCs w:val="22"/>
              </w:rPr>
              <w:t>9</w:t>
            </w:r>
            <w:r w:rsidR="00BE2F18" w:rsidRPr="00A124C2">
              <w:rPr>
                <w:sz w:val="22"/>
                <w:szCs w:val="22"/>
              </w:rPr>
              <w:t>0</w:t>
            </w:r>
            <w:r w:rsidRPr="00A124C2">
              <w:rPr>
                <w:sz w:val="22"/>
                <w:szCs w:val="22"/>
              </w:rPr>
              <w:t>%</w:t>
            </w:r>
          </w:p>
        </w:tc>
        <w:tc>
          <w:tcPr>
            <w:tcW w:w="1105" w:type="dxa"/>
            <w:tcBorders>
              <w:top w:val="single" w:sz="4" w:space="0" w:color="auto"/>
              <w:left w:val="nil"/>
              <w:bottom w:val="single" w:sz="4" w:space="0" w:color="auto"/>
              <w:right w:val="single" w:sz="4" w:space="0" w:color="auto"/>
            </w:tcBorders>
            <w:noWrap/>
            <w:vAlign w:val="center"/>
          </w:tcPr>
          <w:p w14:paraId="23DAA724" w14:textId="77777777" w:rsidR="00272EE4" w:rsidRPr="00A124C2" w:rsidRDefault="00272EE4" w:rsidP="00C11138">
            <w:pPr>
              <w:jc w:val="center"/>
              <w:rPr>
                <w:sz w:val="22"/>
                <w:szCs w:val="22"/>
              </w:rPr>
            </w:pPr>
            <w:r w:rsidRPr="00A124C2">
              <w:rPr>
                <w:sz w:val="22"/>
                <w:szCs w:val="22"/>
              </w:rPr>
              <w:t>9</w:t>
            </w:r>
            <w:r w:rsidR="00BE2F18" w:rsidRPr="00A124C2">
              <w:rPr>
                <w:sz w:val="22"/>
                <w:szCs w:val="22"/>
              </w:rPr>
              <w:t>0</w:t>
            </w:r>
            <w:r w:rsidRPr="00A124C2">
              <w:rPr>
                <w:sz w:val="22"/>
                <w:szCs w:val="22"/>
              </w:rPr>
              <w:t>,2%</w:t>
            </w:r>
          </w:p>
        </w:tc>
        <w:tc>
          <w:tcPr>
            <w:tcW w:w="1021" w:type="dxa"/>
            <w:tcBorders>
              <w:top w:val="single" w:sz="4" w:space="0" w:color="auto"/>
              <w:left w:val="nil"/>
              <w:bottom w:val="single" w:sz="4" w:space="0" w:color="auto"/>
              <w:right w:val="single" w:sz="4" w:space="0" w:color="auto"/>
            </w:tcBorders>
            <w:noWrap/>
            <w:vAlign w:val="center"/>
          </w:tcPr>
          <w:p w14:paraId="164AC74E" w14:textId="77777777" w:rsidR="00272EE4" w:rsidRPr="00A124C2" w:rsidRDefault="00272EE4" w:rsidP="00C11138">
            <w:pPr>
              <w:jc w:val="center"/>
              <w:rPr>
                <w:sz w:val="22"/>
                <w:szCs w:val="22"/>
              </w:rPr>
            </w:pPr>
            <w:r w:rsidRPr="00A124C2">
              <w:rPr>
                <w:sz w:val="22"/>
                <w:szCs w:val="22"/>
              </w:rPr>
              <w:t>9</w:t>
            </w:r>
            <w:r w:rsidR="00BE2F18" w:rsidRPr="00A124C2">
              <w:rPr>
                <w:sz w:val="22"/>
                <w:szCs w:val="22"/>
              </w:rPr>
              <w:t>1</w:t>
            </w:r>
            <w:r w:rsidRPr="00A124C2">
              <w:rPr>
                <w:sz w:val="22"/>
                <w:szCs w:val="22"/>
              </w:rPr>
              <w:t>%</w:t>
            </w:r>
          </w:p>
        </w:tc>
      </w:tr>
      <w:tr w:rsidR="00272EE4" w:rsidRPr="00A124C2" w14:paraId="586E6E3B" w14:textId="77777777" w:rsidTr="00067055">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430D1432" w14:textId="77777777" w:rsidR="00272EE4" w:rsidRPr="00A124C2" w:rsidRDefault="00272EE4" w:rsidP="00C11138">
            <w:pPr>
              <w:jc w:val="center"/>
              <w:rPr>
                <w:sz w:val="22"/>
                <w:szCs w:val="22"/>
              </w:rPr>
            </w:pPr>
            <w:r w:rsidRPr="00A124C2">
              <w:rPr>
                <w:sz w:val="22"/>
                <w:szCs w:val="22"/>
              </w:rPr>
              <w:t>Razmjer broja upisanih i diplomiranih studenata</w:t>
            </w:r>
          </w:p>
        </w:tc>
        <w:tc>
          <w:tcPr>
            <w:tcW w:w="1276" w:type="dxa"/>
            <w:tcBorders>
              <w:top w:val="single" w:sz="4" w:space="0" w:color="auto"/>
              <w:left w:val="nil"/>
              <w:bottom w:val="single" w:sz="4" w:space="0" w:color="auto"/>
              <w:right w:val="single" w:sz="4" w:space="0" w:color="auto"/>
            </w:tcBorders>
            <w:noWrap/>
            <w:vAlign w:val="center"/>
          </w:tcPr>
          <w:p w14:paraId="67CCA3F2" w14:textId="77777777" w:rsidR="00272EE4" w:rsidRPr="00A124C2" w:rsidRDefault="00272EE4" w:rsidP="00C11138">
            <w:pPr>
              <w:jc w:val="center"/>
              <w:rPr>
                <w:sz w:val="22"/>
                <w:szCs w:val="22"/>
              </w:rPr>
            </w:pPr>
            <w:r w:rsidRPr="00A124C2">
              <w:rPr>
                <w:sz w:val="22"/>
                <w:szCs w:val="22"/>
              </w:rPr>
              <w:t>Podizanje indeksa</w:t>
            </w:r>
          </w:p>
          <w:p w14:paraId="30BA5654" w14:textId="77777777" w:rsidR="00272EE4" w:rsidRPr="00A124C2" w:rsidRDefault="00272EE4" w:rsidP="00C11138">
            <w:pPr>
              <w:jc w:val="center"/>
              <w:rPr>
                <w:sz w:val="22"/>
                <w:szCs w:val="22"/>
              </w:rPr>
            </w:pPr>
            <w:r w:rsidRPr="00A124C2">
              <w:rPr>
                <w:sz w:val="22"/>
                <w:szCs w:val="22"/>
              </w:rPr>
              <w:t>uspješnosti studiranja</w:t>
            </w:r>
          </w:p>
        </w:tc>
        <w:tc>
          <w:tcPr>
            <w:tcW w:w="1134" w:type="dxa"/>
            <w:tcBorders>
              <w:top w:val="single" w:sz="4" w:space="0" w:color="auto"/>
              <w:left w:val="nil"/>
              <w:bottom w:val="single" w:sz="4" w:space="0" w:color="auto"/>
              <w:right w:val="single" w:sz="4" w:space="0" w:color="auto"/>
            </w:tcBorders>
            <w:noWrap/>
            <w:vAlign w:val="center"/>
          </w:tcPr>
          <w:p w14:paraId="778E9F11" w14:textId="77777777" w:rsidR="00272EE4" w:rsidRPr="00A124C2" w:rsidRDefault="00272EE4" w:rsidP="00C11138">
            <w:pPr>
              <w:jc w:val="center"/>
              <w:rPr>
                <w:sz w:val="22"/>
                <w:szCs w:val="22"/>
              </w:rPr>
            </w:pPr>
            <w:r w:rsidRPr="00A124C2">
              <w:rPr>
                <w:sz w:val="22"/>
                <w:szCs w:val="22"/>
              </w:rPr>
              <w:t>Postotak</w:t>
            </w:r>
          </w:p>
        </w:tc>
        <w:tc>
          <w:tcPr>
            <w:tcW w:w="1134" w:type="dxa"/>
            <w:tcBorders>
              <w:top w:val="single" w:sz="4" w:space="0" w:color="auto"/>
              <w:left w:val="nil"/>
              <w:bottom w:val="single" w:sz="4" w:space="0" w:color="auto"/>
              <w:right w:val="single" w:sz="4" w:space="0" w:color="auto"/>
            </w:tcBorders>
            <w:noWrap/>
            <w:vAlign w:val="center"/>
          </w:tcPr>
          <w:p w14:paraId="3579451D" w14:textId="77777777" w:rsidR="00272EE4" w:rsidRPr="00A124C2" w:rsidRDefault="00B2130D" w:rsidP="00C11138">
            <w:pPr>
              <w:jc w:val="center"/>
              <w:rPr>
                <w:sz w:val="22"/>
                <w:szCs w:val="22"/>
              </w:rPr>
            </w:pPr>
            <w:r w:rsidRPr="00A124C2">
              <w:rPr>
                <w:sz w:val="22"/>
                <w:szCs w:val="22"/>
              </w:rPr>
              <w:t>90,09</w:t>
            </w:r>
            <w:r w:rsidR="00272EE4" w:rsidRPr="00A124C2">
              <w:rPr>
                <w:sz w:val="22"/>
                <w:szCs w:val="22"/>
              </w:rPr>
              <w:t>% (omjer broja upisanih studenata i onih koji završe studij)</w:t>
            </w:r>
          </w:p>
        </w:tc>
        <w:tc>
          <w:tcPr>
            <w:tcW w:w="1276" w:type="dxa"/>
            <w:tcBorders>
              <w:top w:val="single" w:sz="4" w:space="0" w:color="auto"/>
              <w:left w:val="nil"/>
              <w:bottom w:val="single" w:sz="4" w:space="0" w:color="auto"/>
              <w:right w:val="single" w:sz="4" w:space="0" w:color="auto"/>
            </w:tcBorders>
            <w:noWrap/>
            <w:vAlign w:val="center"/>
          </w:tcPr>
          <w:p w14:paraId="085D3FC8" w14:textId="77777777" w:rsidR="00272EE4" w:rsidRPr="00A124C2" w:rsidRDefault="00272EE4" w:rsidP="00C11138">
            <w:pPr>
              <w:jc w:val="center"/>
              <w:rPr>
                <w:sz w:val="22"/>
                <w:szCs w:val="22"/>
              </w:rPr>
            </w:pPr>
            <w:r w:rsidRPr="00A124C2">
              <w:rPr>
                <w:sz w:val="22"/>
                <w:szCs w:val="22"/>
              </w:rPr>
              <w:t>Prodekan za nastavu i studente / Služba za studente i trajnu izobrazbu</w:t>
            </w:r>
          </w:p>
        </w:tc>
        <w:tc>
          <w:tcPr>
            <w:tcW w:w="1134" w:type="dxa"/>
            <w:tcBorders>
              <w:top w:val="single" w:sz="4" w:space="0" w:color="auto"/>
              <w:left w:val="nil"/>
              <w:bottom w:val="single" w:sz="4" w:space="0" w:color="auto"/>
              <w:right w:val="single" w:sz="4" w:space="0" w:color="auto"/>
            </w:tcBorders>
            <w:noWrap/>
            <w:vAlign w:val="center"/>
          </w:tcPr>
          <w:p w14:paraId="7C6491C0" w14:textId="77777777" w:rsidR="00272EE4" w:rsidRPr="00A124C2" w:rsidRDefault="00B2130D" w:rsidP="00C11138">
            <w:pPr>
              <w:jc w:val="center"/>
              <w:rPr>
                <w:sz w:val="22"/>
                <w:szCs w:val="22"/>
              </w:rPr>
            </w:pPr>
            <w:r w:rsidRPr="00A124C2">
              <w:rPr>
                <w:sz w:val="22"/>
                <w:szCs w:val="22"/>
              </w:rPr>
              <w:t>91</w:t>
            </w:r>
            <w:r w:rsidR="00272EE4" w:rsidRPr="00A124C2">
              <w:rPr>
                <w:sz w:val="22"/>
                <w:szCs w:val="22"/>
              </w:rPr>
              <w:t>%</w:t>
            </w:r>
          </w:p>
        </w:tc>
        <w:tc>
          <w:tcPr>
            <w:tcW w:w="1105" w:type="dxa"/>
            <w:tcBorders>
              <w:top w:val="single" w:sz="4" w:space="0" w:color="auto"/>
              <w:left w:val="nil"/>
              <w:bottom w:val="single" w:sz="4" w:space="0" w:color="auto"/>
              <w:right w:val="single" w:sz="4" w:space="0" w:color="auto"/>
            </w:tcBorders>
            <w:noWrap/>
            <w:vAlign w:val="center"/>
          </w:tcPr>
          <w:p w14:paraId="3938787F" w14:textId="77777777" w:rsidR="00272EE4" w:rsidRPr="00A124C2" w:rsidRDefault="00B2130D" w:rsidP="00C11138">
            <w:pPr>
              <w:jc w:val="center"/>
              <w:rPr>
                <w:sz w:val="22"/>
                <w:szCs w:val="22"/>
              </w:rPr>
            </w:pPr>
            <w:r w:rsidRPr="00A124C2">
              <w:rPr>
                <w:sz w:val="22"/>
                <w:szCs w:val="22"/>
              </w:rPr>
              <w:t>92</w:t>
            </w:r>
            <w:r w:rsidR="00272EE4" w:rsidRPr="00A124C2">
              <w:rPr>
                <w:sz w:val="22"/>
                <w:szCs w:val="22"/>
              </w:rPr>
              <w:t>%</w:t>
            </w:r>
          </w:p>
        </w:tc>
        <w:tc>
          <w:tcPr>
            <w:tcW w:w="1021" w:type="dxa"/>
            <w:tcBorders>
              <w:top w:val="single" w:sz="4" w:space="0" w:color="auto"/>
              <w:left w:val="nil"/>
              <w:bottom w:val="single" w:sz="4" w:space="0" w:color="auto"/>
              <w:right w:val="single" w:sz="4" w:space="0" w:color="auto"/>
            </w:tcBorders>
            <w:noWrap/>
            <w:vAlign w:val="center"/>
          </w:tcPr>
          <w:p w14:paraId="467382D1" w14:textId="77777777" w:rsidR="00272EE4" w:rsidRPr="00A124C2" w:rsidRDefault="00B2130D" w:rsidP="00C11138">
            <w:pPr>
              <w:jc w:val="center"/>
              <w:rPr>
                <w:sz w:val="22"/>
                <w:szCs w:val="22"/>
              </w:rPr>
            </w:pPr>
            <w:r w:rsidRPr="00A124C2">
              <w:rPr>
                <w:sz w:val="22"/>
                <w:szCs w:val="22"/>
              </w:rPr>
              <w:t>93</w:t>
            </w:r>
            <w:r w:rsidR="00272EE4" w:rsidRPr="00A124C2">
              <w:rPr>
                <w:sz w:val="22"/>
                <w:szCs w:val="22"/>
              </w:rPr>
              <w:t>%</w:t>
            </w:r>
          </w:p>
        </w:tc>
      </w:tr>
      <w:tr w:rsidR="00272EE4" w:rsidRPr="00A124C2" w14:paraId="12E3A71A" w14:textId="77777777" w:rsidTr="00067055">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1F87B343" w14:textId="77777777" w:rsidR="00272EE4" w:rsidRPr="00A124C2" w:rsidRDefault="00272EE4" w:rsidP="00C11138">
            <w:pPr>
              <w:jc w:val="center"/>
              <w:rPr>
                <w:sz w:val="22"/>
                <w:szCs w:val="22"/>
              </w:rPr>
            </w:pPr>
            <w:r w:rsidRPr="00A124C2">
              <w:rPr>
                <w:sz w:val="22"/>
                <w:szCs w:val="22"/>
              </w:rPr>
              <w:lastRenderedPageBreak/>
              <w:t>Broj studenata uključenih u ankete o kvaliteti nastave</w:t>
            </w:r>
          </w:p>
        </w:tc>
        <w:tc>
          <w:tcPr>
            <w:tcW w:w="1276" w:type="dxa"/>
            <w:tcBorders>
              <w:top w:val="single" w:sz="4" w:space="0" w:color="auto"/>
              <w:left w:val="nil"/>
              <w:bottom w:val="single" w:sz="4" w:space="0" w:color="auto"/>
              <w:right w:val="single" w:sz="4" w:space="0" w:color="auto"/>
            </w:tcBorders>
            <w:noWrap/>
            <w:vAlign w:val="center"/>
          </w:tcPr>
          <w:p w14:paraId="33F4E569" w14:textId="77777777" w:rsidR="00272EE4" w:rsidRPr="00A124C2" w:rsidRDefault="00272EE4" w:rsidP="00C11138">
            <w:pPr>
              <w:jc w:val="center"/>
              <w:rPr>
                <w:sz w:val="22"/>
                <w:szCs w:val="22"/>
              </w:rPr>
            </w:pPr>
            <w:r w:rsidRPr="00A124C2">
              <w:rPr>
                <w:sz w:val="22"/>
                <w:szCs w:val="22"/>
              </w:rPr>
              <w:t>Povećanje broja studenata uključenih u ankete o kvaliteti nastave</w:t>
            </w:r>
          </w:p>
        </w:tc>
        <w:tc>
          <w:tcPr>
            <w:tcW w:w="1134" w:type="dxa"/>
            <w:tcBorders>
              <w:top w:val="single" w:sz="4" w:space="0" w:color="auto"/>
              <w:left w:val="nil"/>
              <w:bottom w:val="single" w:sz="4" w:space="0" w:color="auto"/>
              <w:right w:val="single" w:sz="4" w:space="0" w:color="auto"/>
            </w:tcBorders>
            <w:noWrap/>
            <w:vAlign w:val="center"/>
          </w:tcPr>
          <w:p w14:paraId="5511BF57" w14:textId="77777777" w:rsidR="00272EE4" w:rsidRPr="00A124C2" w:rsidRDefault="00272EE4" w:rsidP="00C11138">
            <w:pPr>
              <w:jc w:val="center"/>
              <w:rPr>
                <w:sz w:val="22"/>
                <w:szCs w:val="22"/>
              </w:rPr>
            </w:pPr>
            <w:r w:rsidRPr="00A124C2">
              <w:rPr>
                <w:sz w:val="22"/>
                <w:szCs w:val="22"/>
              </w:rPr>
              <w:t>Postotak</w:t>
            </w:r>
          </w:p>
        </w:tc>
        <w:tc>
          <w:tcPr>
            <w:tcW w:w="1134" w:type="dxa"/>
            <w:tcBorders>
              <w:top w:val="single" w:sz="4" w:space="0" w:color="auto"/>
              <w:left w:val="nil"/>
              <w:bottom w:val="single" w:sz="4" w:space="0" w:color="auto"/>
              <w:right w:val="single" w:sz="4" w:space="0" w:color="auto"/>
            </w:tcBorders>
            <w:noWrap/>
            <w:vAlign w:val="center"/>
          </w:tcPr>
          <w:p w14:paraId="24E65069" w14:textId="77777777" w:rsidR="00272EE4" w:rsidRPr="00A124C2" w:rsidRDefault="00BE2F18" w:rsidP="00C11138">
            <w:pPr>
              <w:jc w:val="center"/>
              <w:rPr>
                <w:sz w:val="22"/>
                <w:szCs w:val="22"/>
              </w:rPr>
            </w:pPr>
            <w:r w:rsidRPr="00A124C2">
              <w:rPr>
                <w:sz w:val="22"/>
                <w:szCs w:val="22"/>
              </w:rPr>
              <w:t>5</w:t>
            </w:r>
            <w:r w:rsidR="00272EE4" w:rsidRPr="00A124C2">
              <w:rPr>
                <w:sz w:val="22"/>
                <w:szCs w:val="22"/>
              </w:rPr>
              <w:t>5% ukupnog broja studenata</w:t>
            </w:r>
          </w:p>
        </w:tc>
        <w:tc>
          <w:tcPr>
            <w:tcW w:w="1276" w:type="dxa"/>
            <w:tcBorders>
              <w:top w:val="single" w:sz="4" w:space="0" w:color="auto"/>
              <w:left w:val="nil"/>
              <w:bottom w:val="single" w:sz="4" w:space="0" w:color="auto"/>
              <w:right w:val="single" w:sz="4" w:space="0" w:color="auto"/>
            </w:tcBorders>
            <w:noWrap/>
            <w:vAlign w:val="center"/>
          </w:tcPr>
          <w:p w14:paraId="32A7A3E3" w14:textId="77777777" w:rsidR="00272EE4" w:rsidRPr="00A124C2" w:rsidRDefault="00272EE4" w:rsidP="00C11138">
            <w:pPr>
              <w:jc w:val="center"/>
              <w:rPr>
                <w:sz w:val="22"/>
                <w:szCs w:val="22"/>
              </w:rPr>
            </w:pPr>
            <w:r w:rsidRPr="00A124C2">
              <w:rPr>
                <w:sz w:val="22"/>
                <w:szCs w:val="22"/>
              </w:rPr>
              <w:t>Prodekan za nastavu i studente / Prodekan za upravljanje kvalitetom / Služba za studente i trajnu izobrazbu</w:t>
            </w:r>
          </w:p>
        </w:tc>
        <w:tc>
          <w:tcPr>
            <w:tcW w:w="1134" w:type="dxa"/>
            <w:tcBorders>
              <w:top w:val="single" w:sz="4" w:space="0" w:color="auto"/>
              <w:left w:val="nil"/>
              <w:bottom w:val="single" w:sz="4" w:space="0" w:color="auto"/>
              <w:right w:val="single" w:sz="4" w:space="0" w:color="auto"/>
            </w:tcBorders>
            <w:noWrap/>
            <w:vAlign w:val="center"/>
          </w:tcPr>
          <w:p w14:paraId="644709D7" w14:textId="77777777" w:rsidR="00272EE4" w:rsidRPr="00A124C2" w:rsidRDefault="00272EE4" w:rsidP="00C11138">
            <w:pPr>
              <w:jc w:val="center"/>
              <w:rPr>
                <w:sz w:val="22"/>
                <w:szCs w:val="22"/>
              </w:rPr>
            </w:pPr>
            <w:r w:rsidRPr="00A124C2">
              <w:rPr>
                <w:sz w:val="22"/>
                <w:szCs w:val="22"/>
              </w:rPr>
              <w:t>6</w:t>
            </w:r>
            <w:r w:rsidR="00B2130D" w:rsidRPr="00A124C2">
              <w:rPr>
                <w:sz w:val="22"/>
                <w:szCs w:val="22"/>
              </w:rPr>
              <w:t>0</w:t>
            </w:r>
            <w:r w:rsidRPr="00A124C2">
              <w:rPr>
                <w:sz w:val="22"/>
                <w:szCs w:val="22"/>
              </w:rPr>
              <w:t>%</w:t>
            </w:r>
          </w:p>
        </w:tc>
        <w:tc>
          <w:tcPr>
            <w:tcW w:w="1105" w:type="dxa"/>
            <w:tcBorders>
              <w:top w:val="single" w:sz="4" w:space="0" w:color="auto"/>
              <w:left w:val="nil"/>
              <w:bottom w:val="single" w:sz="4" w:space="0" w:color="auto"/>
              <w:right w:val="single" w:sz="4" w:space="0" w:color="auto"/>
            </w:tcBorders>
            <w:noWrap/>
            <w:vAlign w:val="center"/>
          </w:tcPr>
          <w:p w14:paraId="145156CC" w14:textId="77777777" w:rsidR="00272EE4" w:rsidRPr="00A124C2" w:rsidRDefault="00272EE4" w:rsidP="00C11138">
            <w:pPr>
              <w:jc w:val="center"/>
              <w:rPr>
                <w:sz w:val="22"/>
                <w:szCs w:val="22"/>
              </w:rPr>
            </w:pPr>
            <w:r w:rsidRPr="00A124C2">
              <w:rPr>
                <w:sz w:val="22"/>
                <w:szCs w:val="22"/>
              </w:rPr>
              <w:t>6</w:t>
            </w:r>
            <w:r w:rsidR="00B2130D" w:rsidRPr="00A124C2">
              <w:rPr>
                <w:sz w:val="22"/>
                <w:szCs w:val="22"/>
              </w:rPr>
              <w:t>2</w:t>
            </w:r>
            <w:r w:rsidRPr="00A124C2">
              <w:rPr>
                <w:sz w:val="22"/>
                <w:szCs w:val="22"/>
              </w:rPr>
              <w:t>%</w:t>
            </w:r>
          </w:p>
        </w:tc>
        <w:tc>
          <w:tcPr>
            <w:tcW w:w="1021" w:type="dxa"/>
            <w:tcBorders>
              <w:top w:val="single" w:sz="4" w:space="0" w:color="auto"/>
              <w:left w:val="nil"/>
              <w:bottom w:val="single" w:sz="4" w:space="0" w:color="auto"/>
              <w:right w:val="single" w:sz="4" w:space="0" w:color="auto"/>
            </w:tcBorders>
            <w:noWrap/>
            <w:vAlign w:val="center"/>
          </w:tcPr>
          <w:p w14:paraId="0F7B93D9" w14:textId="77777777" w:rsidR="00272EE4" w:rsidRPr="00A124C2" w:rsidRDefault="00272EE4" w:rsidP="00C11138">
            <w:pPr>
              <w:jc w:val="center"/>
              <w:rPr>
                <w:sz w:val="22"/>
                <w:szCs w:val="22"/>
              </w:rPr>
            </w:pPr>
            <w:r w:rsidRPr="00A124C2">
              <w:rPr>
                <w:sz w:val="22"/>
                <w:szCs w:val="22"/>
              </w:rPr>
              <w:t>65%</w:t>
            </w:r>
          </w:p>
        </w:tc>
      </w:tr>
      <w:tr w:rsidR="00832201" w:rsidRPr="00A124C2" w14:paraId="15F29EF6" w14:textId="77777777" w:rsidTr="00067055">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1360AE03" w14:textId="31F2DF63" w:rsidR="00832201" w:rsidRPr="00A124C2" w:rsidRDefault="00832201" w:rsidP="00C11138">
            <w:pPr>
              <w:jc w:val="center"/>
              <w:rPr>
                <w:sz w:val="22"/>
                <w:szCs w:val="22"/>
              </w:rPr>
            </w:pPr>
            <w:r w:rsidRPr="00A124C2">
              <w:rPr>
                <w:sz w:val="22"/>
                <w:szCs w:val="22"/>
              </w:rPr>
              <w:t>Broj novonabavljenih stomatoloških jedinica</w:t>
            </w:r>
          </w:p>
        </w:tc>
        <w:tc>
          <w:tcPr>
            <w:tcW w:w="1276" w:type="dxa"/>
            <w:tcBorders>
              <w:top w:val="single" w:sz="4" w:space="0" w:color="auto"/>
              <w:left w:val="nil"/>
              <w:bottom w:val="single" w:sz="4" w:space="0" w:color="auto"/>
              <w:right w:val="single" w:sz="4" w:space="0" w:color="auto"/>
            </w:tcBorders>
            <w:noWrap/>
            <w:vAlign w:val="center"/>
          </w:tcPr>
          <w:p w14:paraId="7F0076DD" w14:textId="502591D5" w:rsidR="00832201" w:rsidRPr="00A124C2" w:rsidRDefault="00832201" w:rsidP="00C11138">
            <w:pPr>
              <w:jc w:val="center"/>
              <w:rPr>
                <w:sz w:val="22"/>
                <w:szCs w:val="22"/>
              </w:rPr>
            </w:pPr>
            <w:r w:rsidRPr="00A124C2">
              <w:rPr>
                <w:sz w:val="22"/>
                <w:szCs w:val="22"/>
              </w:rPr>
              <w:t>Unaprjeđenje kliničke nastave s pacijentima</w:t>
            </w:r>
          </w:p>
        </w:tc>
        <w:tc>
          <w:tcPr>
            <w:tcW w:w="1134" w:type="dxa"/>
            <w:tcBorders>
              <w:top w:val="single" w:sz="4" w:space="0" w:color="auto"/>
              <w:left w:val="nil"/>
              <w:bottom w:val="single" w:sz="4" w:space="0" w:color="auto"/>
              <w:right w:val="single" w:sz="4" w:space="0" w:color="auto"/>
            </w:tcBorders>
            <w:noWrap/>
            <w:vAlign w:val="center"/>
          </w:tcPr>
          <w:p w14:paraId="4FDCEAF4" w14:textId="4D8E6030" w:rsidR="00832201" w:rsidRPr="00A124C2" w:rsidRDefault="00832201" w:rsidP="00C11138">
            <w:pPr>
              <w:jc w:val="center"/>
              <w:rPr>
                <w:sz w:val="22"/>
                <w:szCs w:val="22"/>
              </w:rPr>
            </w:pPr>
            <w:r w:rsidRPr="00A124C2">
              <w:rPr>
                <w:sz w:val="22"/>
                <w:szCs w:val="22"/>
              </w:rPr>
              <w:t>Broj</w:t>
            </w:r>
          </w:p>
        </w:tc>
        <w:tc>
          <w:tcPr>
            <w:tcW w:w="1134" w:type="dxa"/>
            <w:tcBorders>
              <w:top w:val="single" w:sz="4" w:space="0" w:color="auto"/>
              <w:left w:val="nil"/>
              <w:bottom w:val="single" w:sz="4" w:space="0" w:color="auto"/>
              <w:right w:val="single" w:sz="4" w:space="0" w:color="auto"/>
            </w:tcBorders>
            <w:noWrap/>
            <w:vAlign w:val="center"/>
          </w:tcPr>
          <w:p w14:paraId="692E776B" w14:textId="6A0CFF48" w:rsidR="00832201" w:rsidRPr="00A124C2" w:rsidRDefault="00832201" w:rsidP="00C11138">
            <w:pPr>
              <w:jc w:val="center"/>
              <w:rPr>
                <w:sz w:val="22"/>
                <w:szCs w:val="22"/>
              </w:rPr>
            </w:pPr>
            <w:r w:rsidRPr="00A124C2">
              <w:rPr>
                <w:sz w:val="22"/>
                <w:szCs w:val="22"/>
              </w:rPr>
              <w:t>0</w:t>
            </w:r>
          </w:p>
        </w:tc>
        <w:tc>
          <w:tcPr>
            <w:tcW w:w="1276" w:type="dxa"/>
            <w:tcBorders>
              <w:top w:val="single" w:sz="4" w:space="0" w:color="auto"/>
              <w:left w:val="nil"/>
              <w:bottom w:val="single" w:sz="4" w:space="0" w:color="auto"/>
              <w:right w:val="single" w:sz="4" w:space="0" w:color="auto"/>
            </w:tcBorders>
            <w:noWrap/>
            <w:vAlign w:val="center"/>
          </w:tcPr>
          <w:p w14:paraId="36A8297A" w14:textId="6186AA63" w:rsidR="00832201" w:rsidRPr="00A124C2" w:rsidRDefault="00832201" w:rsidP="00C11138">
            <w:pPr>
              <w:jc w:val="center"/>
              <w:rPr>
                <w:sz w:val="22"/>
                <w:szCs w:val="22"/>
              </w:rPr>
            </w:pPr>
            <w:r w:rsidRPr="00A124C2">
              <w:rPr>
                <w:sz w:val="22"/>
                <w:szCs w:val="22"/>
              </w:rPr>
              <w:t>Prodekan za poslovanje, infrastrukturu i projekte</w:t>
            </w:r>
          </w:p>
        </w:tc>
        <w:tc>
          <w:tcPr>
            <w:tcW w:w="1134" w:type="dxa"/>
            <w:tcBorders>
              <w:top w:val="single" w:sz="4" w:space="0" w:color="auto"/>
              <w:left w:val="nil"/>
              <w:bottom w:val="single" w:sz="4" w:space="0" w:color="auto"/>
              <w:right w:val="single" w:sz="4" w:space="0" w:color="auto"/>
            </w:tcBorders>
            <w:noWrap/>
            <w:vAlign w:val="center"/>
          </w:tcPr>
          <w:p w14:paraId="6C4BEC7C" w14:textId="524C0ED6" w:rsidR="00832201" w:rsidRPr="00A124C2" w:rsidRDefault="00832201" w:rsidP="00C11138">
            <w:pPr>
              <w:jc w:val="center"/>
              <w:rPr>
                <w:sz w:val="22"/>
                <w:szCs w:val="22"/>
              </w:rPr>
            </w:pPr>
            <w:r w:rsidRPr="00A124C2">
              <w:rPr>
                <w:sz w:val="22"/>
                <w:szCs w:val="22"/>
              </w:rPr>
              <w:t>3</w:t>
            </w:r>
          </w:p>
        </w:tc>
        <w:tc>
          <w:tcPr>
            <w:tcW w:w="1105" w:type="dxa"/>
            <w:tcBorders>
              <w:top w:val="single" w:sz="4" w:space="0" w:color="auto"/>
              <w:left w:val="nil"/>
              <w:bottom w:val="single" w:sz="4" w:space="0" w:color="auto"/>
              <w:right w:val="single" w:sz="4" w:space="0" w:color="auto"/>
            </w:tcBorders>
            <w:noWrap/>
            <w:vAlign w:val="center"/>
          </w:tcPr>
          <w:p w14:paraId="37BC2F9B" w14:textId="4AE202EE" w:rsidR="00832201" w:rsidRPr="00A124C2" w:rsidRDefault="00832201" w:rsidP="00C11138">
            <w:pPr>
              <w:jc w:val="center"/>
              <w:rPr>
                <w:sz w:val="22"/>
                <w:szCs w:val="22"/>
              </w:rPr>
            </w:pPr>
            <w:r w:rsidRPr="00A124C2">
              <w:rPr>
                <w:sz w:val="22"/>
                <w:szCs w:val="22"/>
              </w:rPr>
              <w:t>5</w:t>
            </w:r>
          </w:p>
        </w:tc>
        <w:tc>
          <w:tcPr>
            <w:tcW w:w="1021" w:type="dxa"/>
            <w:tcBorders>
              <w:top w:val="single" w:sz="4" w:space="0" w:color="auto"/>
              <w:left w:val="nil"/>
              <w:bottom w:val="single" w:sz="4" w:space="0" w:color="auto"/>
              <w:right w:val="single" w:sz="4" w:space="0" w:color="auto"/>
            </w:tcBorders>
            <w:noWrap/>
            <w:vAlign w:val="center"/>
          </w:tcPr>
          <w:p w14:paraId="497B3024" w14:textId="5B974079" w:rsidR="00832201" w:rsidRPr="00A124C2" w:rsidRDefault="00832201" w:rsidP="00C11138">
            <w:pPr>
              <w:jc w:val="center"/>
              <w:rPr>
                <w:sz w:val="22"/>
                <w:szCs w:val="22"/>
              </w:rPr>
            </w:pPr>
            <w:r w:rsidRPr="00A124C2">
              <w:rPr>
                <w:sz w:val="22"/>
                <w:szCs w:val="22"/>
              </w:rPr>
              <w:t>5</w:t>
            </w:r>
          </w:p>
        </w:tc>
      </w:tr>
      <w:tr w:rsidR="00C53345" w:rsidRPr="00A124C2" w14:paraId="3CBC56E8" w14:textId="77777777" w:rsidTr="00067055">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5FCA3FE1" w14:textId="1089CABD" w:rsidR="00C53345" w:rsidRPr="00A124C2" w:rsidRDefault="00C53345" w:rsidP="00C11138">
            <w:pPr>
              <w:jc w:val="center"/>
              <w:rPr>
                <w:sz w:val="22"/>
                <w:szCs w:val="22"/>
              </w:rPr>
            </w:pPr>
            <w:r w:rsidRPr="00A124C2">
              <w:rPr>
                <w:sz w:val="22"/>
                <w:szCs w:val="22"/>
              </w:rPr>
              <w:t>Broj novih digitalnih postrojenja, uređaja ili programa za laboratorijsku nastavu</w:t>
            </w:r>
          </w:p>
        </w:tc>
        <w:tc>
          <w:tcPr>
            <w:tcW w:w="1276" w:type="dxa"/>
            <w:tcBorders>
              <w:top w:val="single" w:sz="4" w:space="0" w:color="auto"/>
              <w:left w:val="nil"/>
              <w:bottom w:val="single" w:sz="4" w:space="0" w:color="auto"/>
              <w:right w:val="single" w:sz="4" w:space="0" w:color="auto"/>
            </w:tcBorders>
            <w:noWrap/>
            <w:vAlign w:val="center"/>
          </w:tcPr>
          <w:p w14:paraId="6D018416" w14:textId="0CAF12C1" w:rsidR="00C53345" w:rsidRPr="00A124C2" w:rsidRDefault="00C53345" w:rsidP="00C11138">
            <w:pPr>
              <w:jc w:val="center"/>
              <w:rPr>
                <w:sz w:val="22"/>
                <w:szCs w:val="22"/>
              </w:rPr>
            </w:pPr>
            <w:r w:rsidRPr="00A124C2">
              <w:rPr>
                <w:sz w:val="22"/>
                <w:szCs w:val="22"/>
              </w:rPr>
              <w:t>Digitalizacija i unaprjeđenje laboratorijske nastave iz kliničkih stomatoloških predmeta</w:t>
            </w:r>
          </w:p>
        </w:tc>
        <w:tc>
          <w:tcPr>
            <w:tcW w:w="1134" w:type="dxa"/>
            <w:tcBorders>
              <w:top w:val="single" w:sz="4" w:space="0" w:color="auto"/>
              <w:left w:val="nil"/>
              <w:bottom w:val="single" w:sz="4" w:space="0" w:color="auto"/>
              <w:right w:val="single" w:sz="4" w:space="0" w:color="auto"/>
            </w:tcBorders>
            <w:noWrap/>
            <w:vAlign w:val="center"/>
          </w:tcPr>
          <w:p w14:paraId="6E3528AA" w14:textId="11337434" w:rsidR="00C53345" w:rsidRPr="00A124C2" w:rsidRDefault="00C53345" w:rsidP="00C11138">
            <w:pPr>
              <w:jc w:val="center"/>
              <w:rPr>
                <w:sz w:val="22"/>
                <w:szCs w:val="22"/>
              </w:rPr>
            </w:pPr>
            <w:r w:rsidRPr="00A124C2">
              <w:rPr>
                <w:sz w:val="22"/>
                <w:szCs w:val="22"/>
              </w:rPr>
              <w:t>Broj</w:t>
            </w:r>
          </w:p>
        </w:tc>
        <w:tc>
          <w:tcPr>
            <w:tcW w:w="1134" w:type="dxa"/>
            <w:tcBorders>
              <w:top w:val="single" w:sz="4" w:space="0" w:color="auto"/>
              <w:left w:val="nil"/>
              <w:bottom w:val="single" w:sz="4" w:space="0" w:color="auto"/>
              <w:right w:val="single" w:sz="4" w:space="0" w:color="auto"/>
            </w:tcBorders>
            <w:noWrap/>
            <w:vAlign w:val="center"/>
          </w:tcPr>
          <w:p w14:paraId="0865F886" w14:textId="35BA2D60" w:rsidR="00C53345" w:rsidRPr="00A124C2" w:rsidRDefault="00C53345" w:rsidP="00C11138">
            <w:pPr>
              <w:jc w:val="center"/>
              <w:rPr>
                <w:sz w:val="22"/>
                <w:szCs w:val="22"/>
              </w:rPr>
            </w:pPr>
            <w:r w:rsidRPr="00A124C2">
              <w:rPr>
                <w:sz w:val="22"/>
                <w:szCs w:val="22"/>
              </w:rPr>
              <w:t>0</w:t>
            </w:r>
          </w:p>
        </w:tc>
        <w:tc>
          <w:tcPr>
            <w:tcW w:w="1276" w:type="dxa"/>
            <w:tcBorders>
              <w:top w:val="single" w:sz="4" w:space="0" w:color="auto"/>
              <w:left w:val="nil"/>
              <w:bottom w:val="single" w:sz="4" w:space="0" w:color="auto"/>
              <w:right w:val="single" w:sz="4" w:space="0" w:color="auto"/>
            </w:tcBorders>
            <w:noWrap/>
            <w:vAlign w:val="center"/>
          </w:tcPr>
          <w:p w14:paraId="4AFBDC69" w14:textId="0B234163" w:rsidR="00C53345" w:rsidRPr="00A124C2" w:rsidRDefault="00C53345" w:rsidP="00C11138">
            <w:pPr>
              <w:jc w:val="center"/>
              <w:rPr>
                <w:sz w:val="22"/>
                <w:szCs w:val="22"/>
              </w:rPr>
            </w:pPr>
            <w:r w:rsidRPr="00A124C2">
              <w:rPr>
                <w:sz w:val="22"/>
                <w:szCs w:val="22"/>
              </w:rPr>
              <w:t>Prodekan za poslovanje, infrastrukturu i projekte</w:t>
            </w:r>
          </w:p>
        </w:tc>
        <w:tc>
          <w:tcPr>
            <w:tcW w:w="1134" w:type="dxa"/>
            <w:tcBorders>
              <w:top w:val="single" w:sz="4" w:space="0" w:color="auto"/>
              <w:left w:val="nil"/>
              <w:bottom w:val="single" w:sz="4" w:space="0" w:color="auto"/>
              <w:right w:val="single" w:sz="4" w:space="0" w:color="auto"/>
            </w:tcBorders>
            <w:noWrap/>
            <w:vAlign w:val="center"/>
          </w:tcPr>
          <w:p w14:paraId="3B4376AC" w14:textId="23670F08" w:rsidR="00C53345" w:rsidRPr="00A124C2" w:rsidRDefault="00C53345" w:rsidP="00C11138">
            <w:pPr>
              <w:jc w:val="center"/>
              <w:rPr>
                <w:sz w:val="22"/>
                <w:szCs w:val="22"/>
              </w:rPr>
            </w:pPr>
            <w:r w:rsidRPr="00A124C2">
              <w:rPr>
                <w:sz w:val="22"/>
                <w:szCs w:val="22"/>
              </w:rPr>
              <w:t>2</w:t>
            </w:r>
          </w:p>
        </w:tc>
        <w:tc>
          <w:tcPr>
            <w:tcW w:w="1105" w:type="dxa"/>
            <w:tcBorders>
              <w:top w:val="single" w:sz="4" w:space="0" w:color="auto"/>
              <w:left w:val="nil"/>
              <w:bottom w:val="single" w:sz="4" w:space="0" w:color="auto"/>
              <w:right w:val="single" w:sz="4" w:space="0" w:color="auto"/>
            </w:tcBorders>
            <w:noWrap/>
            <w:vAlign w:val="center"/>
          </w:tcPr>
          <w:p w14:paraId="262C65C0" w14:textId="16A803F8" w:rsidR="00C53345" w:rsidRPr="00A124C2" w:rsidRDefault="00C53345" w:rsidP="00C11138">
            <w:pPr>
              <w:jc w:val="center"/>
              <w:rPr>
                <w:sz w:val="22"/>
                <w:szCs w:val="22"/>
              </w:rPr>
            </w:pPr>
            <w:r w:rsidRPr="00A124C2">
              <w:rPr>
                <w:sz w:val="22"/>
                <w:szCs w:val="22"/>
              </w:rPr>
              <w:t>3</w:t>
            </w:r>
          </w:p>
        </w:tc>
        <w:tc>
          <w:tcPr>
            <w:tcW w:w="1021" w:type="dxa"/>
            <w:tcBorders>
              <w:top w:val="single" w:sz="4" w:space="0" w:color="auto"/>
              <w:left w:val="nil"/>
              <w:bottom w:val="single" w:sz="4" w:space="0" w:color="auto"/>
              <w:right w:val="single" w:sz="4" w:space="0" w:color="auto"/>
            </w:tcBorders>
            <w:noWrap/>
            <w:vAlign w:val="center"/>
          </w:tcPr>
          <w:p w14:paraId="1048323F" w14:textId="16BE13B0" w:rsidR="00C53345" w:rsidRPr="00A124C2" w:rsidRDefault="00C53345" w:rsidP="00C11138">
            <w:pPr>
              <w:jc w:val="center"/>
              <w:rPr>
                <w:sz w:val="22"/>
                <w:szCs w:val="22"/>
              </w:rPr>
            </w:pPr>
            <w:r w:rsidRPr="00A124C2">
              <w:rPr>
                <w:sz w:val="22"/>
                <w:szCs w:val="22"/>
              </w:rPr>
              <w:t>3</w:t>
            </w:r>
          </w:p>
        </w:tc>
      </w:tr>
      <w:tr w:rsidR="002E0F3A" w:rsidRPr="00A124C2" w14:paraId="460E6A89" w14:textId="77777777" w:rsidTr="00067055">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161C66EC" w14:textId="18E1D657" w:rsidR="002E0F3A" w:rsidRPr="00A124C2" w:rsidRDefault="002E0F3A" w:rsidP="00C11138">
            <w:pPr>
              <w:jc w:val="center"/>
              <w:rPr>
                <w:sz w:val="22"/>
                <w:szCs w:val="22"/>
              </w:rPr>
            </w:pPr>
            <w:r w:rsidRPr="00A124C2">
              <w:rPr>
                <w:color w:val="000000"/>
                <w:sz w:val="22"/>
                <w:szCs w:val="22"/>
              </w:rPr>
              <w:t>Broj uvedenih inovativnih metoda  poučavanja</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3ECBF145" w14:textId="0EAA22E9" w:rsidR="002E0F3A" w:rsidRPr="00A124C2" w:rsidRDefault="002E0F3A" w:rsidP="00C11138">
            <w:pPr>
              <w:spacing w:after="160"/>
              <w:jc w:val="center"/>
              <w:rPr>
                <w:bCs/>
                <w:sz w:val="22"/>
                <w:szCs w:val="22"/>
              </w:rPr>
            </w:pPr>
            <w:r w:rsidRPr="00A124C2">
              <w:rPr>
                <w:bCs/>
                <w:sz w:val="22"/>
                <w:szCs w:val="22"/>
              </w:rPr>
              <w:t>Osuvremenjivanje metoda poučavanja, stjecanja i provjere znanja</w:t>
            </w:r>
          </w:p>
          <w:p w14:paraId="5AA538D6" w14:textId="77777777" w:rsidR="002E0F3A" w:rsidRPr="00A124C2" w:rsidRDefault="002E0F3A" w:rsidP="00C11138">
            <w:pPr>
              <w:jc w:val="center"/>
              <w:rPr>
                <w:sz w:val="22"/>
                <w:szCs w:val="22"/>
              </w:rPr>
            </w:pPr>
          </w:p>
        </w:tc>
        <w:tc>
          <w:tcPr>
            <w:tcW w:w="1134" w:type="dxa"/>
            <w:tcBorders>
              <w:top w:val="single" w:sz="4" w:space="0" w:color="auto"/>
              <w:left w:val="nil"/>
              <w:bottom w:val="single" w:sz="4" w:space="0" w:color="auto"/>
              <w:right w:val="single" w:sz="4" w:space="0" w:color="auto"/>
            </w:tcBorders>
            <w:noWrap/>
            <w:vAlign w:val="center"/>
          </w:tcPr>
          <w:p w14:paraId="0F824010" w14:textId="0B1C7CCD" w:rsidR="002E0F3A" w:rsidRPr="00A124C2" w:rsidRDefault="002E0F3A" w:rsidP="00C11138">
            <w:pPr>
              <w:jc w:val="center"/>
              <w:rPr>
                <w:sz w:val="22"/>
                <w:szCs w:val="22"/>
              </w:rPr>
            </w:pPr>
            <w:r w:rsidRPr="00A124C2">
              <w:rPr>
                <w:sz w:val="22"/>
                <w:szCs w:val="22"/>
              </w:rPr>
              <w:t>Broj</w:t>
            </w:r>
          </w:p>
        </w:tc>
        <w:tc>
          <w:tcPr>
            <w:tcW w:w="1134" w:type="dxa"/>
            <w:tcBorders>
              <w:top w:val="single" w:sz="4" w:space="0" w:color="auto"/>
              <w:left w:val="nil"/>
              <w:bottom w:val="single" w:sz="4" w:space="0" w:color="auto"/>
              <w:right w:val="single" w:sz="4" w:space="0" w:color="auto"/>
            </w:tcBorders>
            <w:noWrap/>
            <w:vAlign w:val="center"/>
          </w:tcPr>
          <w:p w14:paraId="12E062E2" w14:textId="5EEC68F6" w:rsidR="002E0F3A" w:rsidRPr="00A124C2" w:rsidRDefault="002E0F3A" w:rsidP="00C11138">
            <w:pPr>
              <w:jc w:val="center"/>
              <w:rPr>
                <w:sz w:val="22"/>
                <w:szCs w:val="22"/>
              </w:rPr>
            </w:pPr>
            <w:r w:rsidRPr="00A124C2">
              <w:rPr>
                <w:sz w:val="22"/>
                <w:szCs w:val="22"/>
              </w:rPr>
              <w:t>0</w:t>
            </w:r>
          </w:p>
        </w:tc>
        <w:tc>
          <w:tcPr>
            <w:tcW w:w="1276" w:type="dxa"/>
            <w:tcBorders>
              <w:top w:val="single" w:sz="4" w:space="0" w:color="auto"/>
              <w:left w:val="nil"/>
              <w:bottom w:val="single" w:sz="4" w:space="0" w:color="auto"/>
              <w:right w:val="single" w:sz="4" w:space="0" w:color="auto"/>
            </w:tcBorders>
            <w:noWrap/>
            <w:vAlign w:val="center"/>
          </w:tcPr>
          <w:p w14:paraId="453E2D00" w14:textId="0857678A" w:rsidR="002E0F3A" w:rsidRPr="00A124C2" w:rsidRDefault="002E0F3A" w:rsidP="00C11138">
            <w:pPr>
              <w:jc w:val="center"/>
              <w:rPr>
                <w:sz w:val="22"/>
                <w:szCs w:val="22"/>
              </w:rPr>
            </w:pPr>
            <w:r w:rsidRPr="00A124C2">
              <w:rPr>
                <w:sz w:val="22"/>
                <w:szCs w:val="22"/>
              </w:rPr>
              <w:t>Prodekan za nastavu i studente</w:t>
            </w:r>
          </w:p>
        </w:tc>
        <w:tc>
          <w:tcPr>
            <w:tcW w:w="1134" w:type="dxa"/>
            <w:tcBorders>
              <w:top w:val="single" w:sz="4" w:space="0" w:color="auto"/>
              <w:left w:val="nil"/>
              <w:bottom w:val="single" w:sz="4" w:space="0" w:color="auto"/>
              <w:right w:val="single" w:sz="4" w:space="0" w:color="auto"/>
            </w:tcBorders>
            <w:noWrap/>
            <w:vAlign w:val="center"/>
          </w:tcPr>
          <w:p w14:paraId="7D513BFA" w14:textId="1C2BC2CC" w:rsidR="002E0F3A" w:rsidRPr="00A124C2" w:rsidRDefault="002E0F3A" w:rsidP="00C11138">
            <w:pPr>
              <w:jc w:val="center"/>
              <w:rPr>
                <w:sz w:val="22"/>
                <w:szCs w:val="22"/>
              </w:rPr>
            </w:pPr>
            <w:r w:rsidRPr="00A124C2">
              <w:rPr>
                <w:sz w:val="22"/>
                <w:szCs w:val="22"/>
              </w:rPr>
              <w:t>1</w:t>
            </w:r>
          </w:p>
        </w:tc>
        <w:tc>
          <w:tcPr>
            <w:tcW w:w="1105" w:type="dxa"/>
            <w:tcBorders>
              <w:top w:val="single" w:sz="4" w:space="0" w:color="auto"/>
              <w:left w:val="nil"/>
              <w:bottom w:val="single" w:sz="4" w:space="0" w:color="auto"/>
              <w:right w:val="single" w:sz="4" w:space="0" w:color="auto"/>
            </w:tcBorders>
            <w:noWrap/>
            <w:vAlign w:val="center"/>
          </w:tcPr>
          <w:p w14:paraId="3076E400" w14:textId="55DCBF49" w:rsidR="002E0F3A" w:rsidRPr="00A124C2" w:rsidRDefault="002E0F3A" w:rsidP="00C11138">
            <w:pPr>
              <w:jc w:val="center"/>
              <w:rPr>
                <w:sz w:val="22"/>
                <w:szCs w:val="22"/>
              </w:rPr>
            </w:pPr>
            <w:r w:rsidRPr="00A124C2">
              <w:rPr>
                <w:sz w:val="22"/>
                <w:szCs w:val="22"/>
              </w:rPr>
              <w:t>2</w:t>
            </w:r>
          </w:p>
        </w:tc>
        <w:tc>
          <w:tcPr>
            <w:tcW w:w="1021" w:type="dxa"/>
            <w:tcBorders>
              <w:top w:val="single" w:sz="4" w:space="0" w:color="auto"/>
              <w:left w:val="nil"/>
              <w:bottom w:val="single" w:sz="4" w:space="0" w:color="auto"/>
              <w:right w:val="single" w:sz="4" w:space="0" w:color="auto"/>
            </w:tcBorders>
            <w:noWrap/>
            <w:vAlign w:val="center"/>
          </w:tcPr>
          <w:p w14:paraId="5C15A958" w14:textId="10A32FAF" w:rsidR="002E0F3A" w:rsidRPr="00A124C2" w:rsidRDefault="002E0F3A" w:rsidP="00C11138">
            <w:pPr>
              <w:jc w:val="center"/>
              <w:rPr>
                <w:sz w:val="22"/>
                <w:szCs w:val="22"/>
              </w:rPr>
            </w:pPr>
            <w:r w:rsidRPr="00A124C2">
              <w:rPr>
                <w:sz w:val="22"/>
                <w:szCs w:val="22"/>
              </w:rPr>
              <w:t>3</w:t>
            </w:r>
          </w:p>
        </w:tc>
      </w:tr>
      <w:tr w:rsidR="00E502FA" w:rsidRPr="00A124C2" w14:paraId="161DFB5C" w14:textId="77777777" w:rsidTr="00067055">
        <w:trPr>
          <w:trHeight w:val="507"/>
        </w:trPr>
        <w:tc>
          <w:tcPr>
            <w:tcW w:w="1603" w:type="dxa"/>
            <w:tcBorders>
              <w:top w:val="single" w:sz="4" w:space="0" w:color="auto"/>
              <w:left w:val="single" w:sz="4" w:space="0" w:color="auto"/>
              <w:bottom w:val="single" w:sz="4" w:space="0" w:color="auto"/>
              <w:right w:val="single" w:sz="4" w:space="0" w:color="auto"/>
            </w:tcBorders>
            <w:vAlign w:val="center"/>
          </w:tcPr>
          <w:p w14:paraId="249CF8F0" w14:textId="7AD50DC4" w:rsidR="00E502FA" w:rsidRPr="00A124C2" w:rsidRDefault="00E502FA" w:rsidP="00C11138">
            <w:pPr>
              <w:jc w:val="center"/>
              <w:rPr>
                <w:sz w:val="22"/>
                <w:szCs w:val="22"/>
              </w:rPr>
            </w:pPr>
            <w:r w:rsidRPr="00A124C2">
              <w:rPr>
                <w:sz w:val="22"/>
                <w:szCs w:val="22"/>
              </w:rPr>
              <w:t xml:space="preserve">Broj nastavnika koji pohađaju </w:t>
            </w:r>
            <w:r w:rsidRPr="00A124C2">
              <w:rPr>
                <w:bCs/>
                <w:sz w:val="22"/>
                <w:szCs w:val="22"/>
              </w:rPr>
              <w:t>akreditirane obrazovne programe</w:t>
            </w:r>
          </w:p>
        </w:tc>
        <w:tc>
          <w:tcPr>
            <w:tcW w:w="1276" w:type="dxa"/>
            <w:tcBorders>
              <w:top w:val="single" w:sz="4" w:space="0" w:color="auto"/>
              <w:left w:val="nil"/>
              <w:bottom w:val="single" w:sz="4" w:space="0" w:color="auto"/>
              <w:right w:val="single" w:sz="4" w:space="0" w:color="auto"/>
            </w:tcBorders>
            <w:shd w:val="clear" w:color="auto" w:fill="FFFFFF" w:themeFill="background1"/>
            <w:noWrap/>
            <w:vAlign w:val="center"/>
          </w:tcPr>
          <w:p w14:paraId="3506CE5A" w14:textId="72909657" w:rsidR="00E502FA" w:rsidRPr="00A124C2" w:rsidRDefault="00E502FA" w:rsidP="00C11138">
            <w:pPr>
              <w:jc w:val="center"/>
              <w:rPr>
                <w:sz w:val="22"/>
                <w:szCs w:val="22"/>
              </w:rPr>
            </w:pPr>
            <w:r w:rsidRPr="00A124C2">
              <w:rPr>
                <w:color w:val="000000"/>
                <w:sz w:val="22"/>
                <w:szCs w:val="22"/>
              </w:rPr>
              <w:t>Jačanje nastavničkih kompetencija</w:t>
            </w:r>
          </w:p>
        </w:tc>
        <w:tc>
          <w:tcPr>
            <w:tcW w:w="1134" w:type="dxa"/>
            <w:tcBorders>
              <w:top w:val="single" w:sz="4" w:space="0" w:color="auto"/>
              <w:left w:val="nil"/>
              <w:bottom w:val="single" w:sz="4" w:space="0" w:color="auto"/>
              <w:right w:val="single" w:sz="4" w:space="0" w:color="auto"/>
            </w:tcBorders>
            <w:noWrap/>
            <w:vAlign w:val="center"/>
          </w:tcPr>
          <w:p w14:paraId="61273141" w14:textId="78A18551" w:rsidR="00E502FA" w:rsidRPr="00A124C2" w:rsidRDefault="00E502FA" w:rsidP="00C11138">
            <w:pPr>
              <w:jc w:val="center"/>
              <w:rPr>
                <w:sz w:val="22"/>
                <w:szCs w:val="22"/>
              </w:rPr>
            </w:pPr>
            <w:r w:rsidRPr="00A124C2">
              <w:rPr>
                <w:sz w:val="22"/>
                <w:szCs w:val="22"/>
              </w:rPr>
              <w:t>Broj</w:t>
            </w:r>
          </w:p>
        </w:tc>
        <w:tc>
          <w:tcPr>
            <w:tcW w:w="1134" w:type="dxa"/>
            <w:tcBorders>
              <w:top w:val="single" w:sz="4" w:space="0" w:color="auto"/>
              <w:left w:val="nil"/>
              <w:bottom w:val="single" w:sz="4" w:space="0" w:color="auto"/>
              <w:right w:val="single" w:sz="4" w:space="0" w:color="auto"/>
            </w:tcBorders>
            <w:noWrap/>
            <w:vAlign w:val="center"/>
          </w:tcPr>
          <w:p w14:paraId="37996D4B" w14:textId="5A7E01ED" w:rsidR="00E502FA" w:rsidRPr="00A124C2" w:rsidRDefault="00E502FA" w:rsidP="00C11138">
            <w:pPr>
              <w:jc w:val="center"/>
              <w:rPr>
                <w:sz w:val="22"/>
                <w:szCs w:val="22"/>
              </w:rPr>
            </w:pPr>
            <w:r w:rsidRPr="00A124C2">
              <w:rPr>
                <w:sz w:val="22"/>
                <w:szCs w:val="22"/>
              </w:rPr>
              <w:t>5</w:t>
            </w:r>
          </w:p>
        </w:tc>
        <w:tc>
          <w:tcPr>
            <w:tcW w:w="1276" w:type="dxa"/>
            <w:tcBorders>
              <w:top w:val="single" w:sz="4" w:space="0" w:color="auto"/>
              <w:left w:val="nil"/>
              <w:bottom w:val="single" w:sz="4" w:space="0" w:color="auto"/>
              <w:right w:val="single" w:sz="4" w:space="0" w:color="auto"/>
            </w:tcBorders>
            <w:noWrap/>
            <w:vAlign w:val="center"/>
          </w:tcPr>
          <w:p w14:paraId="1402B88E" w14:textId="06C0551A" w:rsidR="00E502FA" w:rsidRPr="00A124C2" w:rsidRDefault="00E502FA" w:rsidP="00C11138">
            <w:pPr>
              <w:jc w:val="center"/>
              <w:rPr>
                <w:sz w:val="22"/>
                <w:szCs w:val="22"/>
              </w:rPr>
            </w:pPr>
            <w:r w:rsidRPr="00A124C2">
              <w:rPr>
                <w:sz w:val="22"/>
                <w:szCs w:val="22"/>
              </w:rPr>
              <w:t>Prodekan za poslovanje, infrastrukturu i projekte</w:t>
            </w:r>
          </w:p>
        </w:tc>
        <w:tc>
          <w:tcPr>
            <w:tcW w:w="1134" w:type="dxa"/>
            <w:tcBorders>
              <w:top w:val="single" w:sz="4" w:space="0" w:color="auto"/>
              <w:left w:val="nil"/>
              <w:bottom w:val="single" w:sz="4" w:space="0" w:color="auto"/>
              <w:right w:val="single" w:sz="4" w:space="0" w:color="auto"/>
            </w:tcBorders>
            <w:noWrap/>
            <w:vAlign w:val="center"/>
          </w:tcPr>
          <w:p w14:paraId="476EDF0D" w14:textId="7DF14733" w:rsidR="00E502FA" w:rsidRPr="00A124C2" w:rsidRDefault="00E502FA" w:rsidP="00C11138">
            <w:pPr>
              <w:jc w:val="center"/>
              <w:rPr>
                <w:sz w:val="22"/>
                <w:szCs w:val="22"/>
              </w:rPr>
            </w:pPr>
            <w:r w:rsidRPr="00A124C2">
              <w:rPr>
                <w:sz w:val="22"/>
                <w:szCs w:val="22"/>
              </w:rPr>
              <w:t>10</w:t>
            </w:r>
          </w:p>
        </w:tc>
        <w:tc>
          <w:tcPr>
            <w:tcW w:w="1105" w:type="dxa"/>
            <w:tcBorders>
              <w:top w:val="single" w:sz="4" w:space="0" w:color="auto"/>
              <w:left w:val="nil"/>
              <w:bottom w:val="single" w:sz="4" w:space="0" w:color="auto"/>
              <w:right w:val="single" w:sz="4" w:space="0" w:color="auto"/>
            </w:tcBorders>
            <w:noWrap/>
            <w:vAlign w:val="center"/>
          </w:tcPr>
          <w:p w14:paraId="036FC9CC" w14:textId="14EDF6B9" w:rsidR="00E502FA" w:rsidRPr="00A124C2" w:rsidRDefault="00E502FA" w:rsidP="00C11138">
            <w:pPr>
              <w:jc w:val="center"/>
              <w:rPr>
                <w:sz w:val="22"/>
                <w:szCs w:val="22"/>
              </w:rPr>
            </w:pPr>
            <w:r w:rsidRPr="00A124C2">
              <w:rPr>
                <w:sz w:val="22"/>
                <w:szCs w:val="22"/>
              </w:rPr>
              <w:t>10</w:t>
            </w:r>
          </w:p>
        </w:tc>
        <w:tc>
          <w:tcPr>
            <w:tcW w:w="1021" w:type="dxa"/>
            <w:tcBorders>
              <w:top w:val="single" w:sz="4" w:space="0" w:color="auto"/>
              <w:left w:val="nil"/>
              <w:bottom w:val="single" w:sz="4" w:space="0" w:color="auto"/>
              <w:right w:val="single" w:sz="4" w:space="0" w:color="auto"/>
            </w:tcBorders>
            <w:noWrap/>
            <w:vAlign w:val="center"/>
          </w:tcPr>
          <w:p w14:paraId="729D42F1" w14:textId="4AA4F056" w:rsidR="00E502FA" w:rsidRPr="00A124C2" w:rsidRDefault="00E502FA" w:rsidP="00C11138">
            <w:pPr>
              <w:jc w:val="center"/>
              <w:rPr>
                <w:sz w:val="22"/>
                <w:szCs w:val="22"/>
              </w:rPr>
            </w:pPr>
            <w:r w:rsidRPr="00A124C2">
              <w:rPr>
                <w:sz w:val="22"/>
                <w:szCs w:val="22"/>
              </w:rPr>
              <w:t>20</w:t>
            </w:r>
          </w:p>
        </w:tc>
      </w:tr>
    </w:tbl>
    <w:p w14:paraId="7E6CA3FB" w14:textId="41AB4639" w:rsidR="002531BD" w:rsidRPr="00A124C2" w:rsidRDefault="002531BD" w:rsidP="00C11138">
      <w:pPr>
        <w:jc w:val="both"/>
        <w:rPr>
          <w:b/>
          <w:bCs/>
        </w:rPr>
      </w:pPr>
    </w:p>
    <w:p w14:paraId="428E5DEC" w14:textId="59507385" w:rsidR="00272EE4" w:rsidRPr="00A124C2" w:rsidRDefault="00272EE4" w:rsidP="00C11138">
      <w:pPr>
        <w:jc w:val="both"/>
      </w:pPr>
      <w:r w:rsidRPr="00A124C2">
        <w:rPr>
          <w:b/>
          <w:bCs/>
        </w:rPr>
        <w:t>CILJ 2. ZNANSTVENO – ISTRAŽIVAČKA DJELATNOST</w:t>
      </w:r>
    </w:p>
    <w:p w14:paraId="6AB5F987" w14:textId="77777777" w:rsidR="00272EE4" w:rsidRPr="00A124C2" w:rsidRDefault="00272EE4" w:rsidP="00C11138">
      <w:pPr>
        <w:jc w:val="both"/>
        <w:rPr>
          <w:b/>
          <w:bCs/>
        </w:rPr>
      </w:pPr>
      <w:r w:rsidRPr="00A124C2">
        <w:rPr>
          <w:b/>
          <w:bCs/>
        </w:rPr>
        <w:t>OBRAZLOŽENJE CILJA</w:t>
      </w:r>
    </w:p>
    <w:p w14:paraId="6232A53B" w14:textId="77777777" w:rsidR="00272EE4" w:rsidRPr="00A124C2" w:rsidRDefault="00272EE4" w:rsidP="00C11138">
      <w:pPr>
        <w:jc w:val="both"/>
        <w:rPr>
          <w:b/>
          <w:bCs/>
        </w:rPr>
      </w:pPr>
      <w:r w:rsidRPr="00A124C2">
        <w:rPr>
          <w:b/>
          <w:bCs/>
        </w:rPr>
        <w:t xml:space="preserve"> </w:t>
      </w:r>
    </w:p>
    <w:p w14:paraId="4BF9A592" w14:textId="28DBDF41" w:rsidR="00272EE4" w:rsidRPr="00A124C2" w:rsidRDefault="00272EE4" w:rsidP="00C11138">
      <w:pPr>
        <w:jc w:val="both"/>
      </w:pPr>
      <w:r w:rsidRPr="00A124C2">
        <w:t xml:space="preserve">Istraživačka strategija Fakulteta mora pomoći nastavnom osoblju u znanstvenom usavršavanju kako bi se postigao dugoročni znanstveni razvoj svakog pojedinca pa time i cijelog fakulteta. Na taj način osnažuje se i zadržava vodeća znanstvena uloga Stomatološkog fakulteta na nacionalnoj razini i u regiji. Stoga je iznimno bitno poticati i usmjeravati aktivno sudjelovanje nastavnog osoblja u istraživačkim projektima (posebice na međunarodnoj razini) s ciljem postizanja međunarodno priznate i prepoznate znanstvene aktivnosti u polju dentalne medicine i srodnih područja. Svakako da je međunarodno prepoznata izvrsnost nastavnika Stomatološkog fakulteta i vrlo bitan kriterij u prepoznatljivosti kvalitete samog Fakulteta (pa i Sveučilišta) u međunarodnom okruženju. Bitan pokazatelj je svakako i broj objavljenih radova u časopisima indeksiranim u Web </w:t>
      </w:r>
      <w:proofErr w:type="spellStart"/>
      <w:r w:rsidRPr="00A124C2">
        <w:t>of</w:t>
      </w:r>
      <w:proofErr w:type="spellEnd"/>
      <w:r w:rsidRPr="00A124C2">
        <w:t xml:space="preserve"> Science, broj </w:t>
      </w:r>
      <w:r w:rsidRPr="00A124C2">
        <w:lastRenderedPageBreak/>
        <w:t>radova objavljenih u suradnji s inozemnim autorima (proizašlih iz međunarodne suradnje), te broj odobrenih nacionalnih (HRZZ) i međunarodnih projekata. Prognostički, za očekivati je blagi porast objave znanstvenih radova u narednom razdoblju, a također i u segmentu međunarodne suradnje.</w:t>
      </w:r>
    </w:p>
    <w:p w14:paraId="161078E3" w14:textId="10FA5FC1" w:rsidR="002531BD" w:rsidRPr="00A124C2" w:rsidRDefault="002531BD" w:rsidP="00C11138">
      <w:pPr>
        <w:jc w:val="both"/>
      </w:pPr>
    </w:p>
    <w:p w14:paraId="07B2F348" w14:textId="2A095F34" w:rsidR="003C7CDC" w:rsidRPr="00A124C2" w:rsidRDefault="002531BD" w:rsidP="00C11138">
      <w:pPr>
        <w:spacing w:after="160"/>
        <w:rPr>
          <w:b/>
          <w:bCs/>
        </w:rPr>
      </w:pPr>
      <w:r w:rsidRPr="00A124C2">
        <w:rPr>
          <w:b/>
        </w:rPr>
        <w:t xml:space="preserve">2.1. </w:t>
      </w:r>
      <w:r w:rsidR="003C7CDC" w:rsidRPr="00A124C2">
        <w:rPr>
          <w:b/>
          <w:bCs/>
        </w:rPr>
        <w:t>Modernizacija istraživačke opreme za podizanje konkurentnosti istraživanja</w:t>
      </w:r>
    </w:p>
    <w:p w14:paraId="772BBAD0" w14:textId="2406F5DF" w:rsidR="003C7CDC" w:rsidRPr="00A124C2" w:rsidRDefault="003C7CDC" w:rsidP="00C11138">
      <w:pPr>
        <w:spacing w:after="160"/>
        <w:jc w:val="both"/>
        <w:rPr>
          <w:bCs/>
        </w:rPr>
      </w:pPr>
      <w:r w:rsidRPr="00A124C2">
        <w:rPr>
          <w:bCs/>
        </w:rPr>
        <w:t>Modernizacija istraživačke opreme ključna je za postizanje izvrsnosti i međunarodne prepoznatljivosti znanstvenog rada Fakulteta. Korištenjem suvremene opreme omogućit će se provođenje vrhunskih istraživanja čiji će rezultati biti objavljeni u prestižnim časopisima te pridonijeti većem sudjelovanju u kompetitivnim projektima. Oprema će također potaknuti interdisciplinarnu suradnju, prijenos znanja te povezivanje s gospodarskim sektorom kroz zajedničke projekte primijenjenih istraživanja. Nabava će biti usklađena sa znanstveno-istraživačkim potrebama zaposlenika i strateškim ciljevima Fakulteta, a prednost će imati oprema koja može služiti i u nastavnom procesu, čime će se unaprijediti studijski programi, potaknuti uključivanje studenata u istraživačke aktivnosti te povećati društveni angažman Fakulteta.</w:t>
      </w:r>
    </w:p>
    <w:p w14:paraId="0C8BDA7D" w14:textId="40ECD623" w:rsidR="00276945" w:rsidRPr="00A124C2" w:rsidRDefault="00276945" w:rsidP="00C11138">
      <w:pPr>
        <w:spacing w:after="160"/>
        <w:rPr>
          <w:b/>
          <w:bCs/>
        </w:rPr>
      </w:pPr>
      <w:r w:rsidRPr="00A124C2">
        <w:rPr>
          <w:b/>
          <w:bCs/>
        </w:rPr>
        <w:t xml:space="preserve">2.2. Unapređenje infrastrukture za znanstvenu, nastavnu i stručnu djelatnost </w:t>
      </w:r>
    </w:p>
    <w:p w14:paraId="6C49A2C2" w14:textId="77777777" w:rsidR="00276945" w:rsidRPr="00A124C2" w:rsidRDefault="00276945" w:rsidP="00C11138">
      <w:pPr>
        <w:spacing w:after="160"/>
        <w:jc w:val="both"/>
        <w:rPr>
          <w:bCs/>
        </w:rPr>
      </w:pPr>
      <w:r w:rsidRPr="00A124C2">
        <w:rPr>
          <w:bCs/>
        </w:rPr>
        <w:t>Modernizacija istraživačke infrastrukture ključan je preduvjet za jačanje konkurentnosti istraživanja i unaprjeđenje nastavnog procesa. Fakultet će, unatoč ograničenim prostornim kapacitetima, provesti građevinske preinake i tehnička poboljšanja kako bi optimizirao postojeće prostore za znanstvenu, nastavnu i stručnu djelatnost. Cilj je stvoriti funkcionalne i suvremeno opremljene laboratorije, učionice i radne prostore koji omogućuju interdisciplinarni rad, suradnju s gospodarstvom i uključivanje studenata u istraživačke projekte. Ova ulaganja podržat će razvoj modernih studijskih programa, jačanje društvene uloge Fakulteta kroz suradnju s javnim sektorom i industrijom te povećanje broja i kvalitete istraživačkih rezultata prepoznatih na nacionalnoj i međunarodnoj razini.</w:t>
      </w:r>
    </w:p>
    <w:p w14:paraId="4351A369" w14:textId="0E43CA15" w:rsidR="00272EE4" w:rsidRPr="00C11138" w:rsidRDefault="00276945" w:rsidP="00C11138">
      <w:pPr>
        <w:spacing w:after="160"/>
        <w:jc w:val="both"/>
        <w:rPr>
          <w:bCs/>
        </w:rPr>
      </w:pPr>
      <w:r w:rsidRPr="00A124C2">
        <w:rPr>
          <w:bCs/>
        </w:rPr>
        <w:t>Svrha aktivnosti je osigurati funkcionalne i suvremeno opremljene prostore koji će omogućiti provedbu vrhunskih znanstvenih istraživanja, modernizaciju nastave i jačanje suradnje s gospodarstvom i javnim sektorom. Građevinske preinake i tehnička poboljšanja u postojećim prostorima omogućit će učinkovitije korištenje resursa, integraciju novih tehnologija i poticanje interdisciplinarnog rada. Time će Fakultet povećati svoju istraživačku konkurentnost, privući vanjske izvore financiranja te unaprijediti međunarodnu prepoznatljivost. Ulaganja u istraživačku infrastrukturu pozicioniraju Fakultet kao lidera u znanstveno-istraživačkim aktivnostima u području dentalne medicine u Hrvatskoj, potičući konkurentnost i dugoročnu relevantnost u akademskoj zajednici i društvu.</w:t>
      </w:r>
    </w:p>
    <w:p w14:paraId="2DF6D706" w14:textId="77777777" w:rsidR="00272EE4" w:rsidRPr="00A124C2" w:rsidRDefault="00272EE4" w:rsidP="00C11138">
      <w:pPr>
        <w:jc w:val="both"/>
        <w:rPr>
          <w:b/>
          <w:bCs/>
        </w:rPr>
      </w:pPr>
      <w:r w:rsidRPr="00A124C2">
        <w:rPr>
          <w:b/>
          <w:bCs/>
        </w:rPr>
        <w:t xml:space="preserve">POKAZATELJI UČINKA </w:t>
      </w:r>
    </w:p>
    <w:p w14:paraId="71A3DFE3" w14:textId="77777777" w:rsidR="00272EE4" w:rsidRPr="00A124C2" w:rsidRDefault="00272EE4" w:rsidP="00C11138">
      <w:pPr>
        <w:jc w:val="both"/>
        <w:rPr>
          <w:b/>
          <w:bCs/>
          <w:color w:val="FF0000"/>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3"/>
        <w:gridCol w:w="1276"/>
        <w:gridCol w:w="1134"/>
        <w:gridCol w:w="1134"/>
        <w:gridCol w:w="1276"/>
        <w:gridCol w:w="1134"/>
        <w:gridCol w:w="1134"/>
        <w:gridCol w:w="1134"/>
      </w:tblGrid>
      <w:tr w:rsidR="008565E1" w:rsidRPr="00A124C2" w14:paraId="613F63BE" w14:textId="77777777" w:rsidTr="00067055">
        <w:trPr>
          <w:trHeight w:val="940"/>
        </w:trPr>
        <w:tc>
          <w:tcPr>
            <w:tcW w:w="1603" w:type="dxa"/>
            <w:tcBorders>
              <w:bottom w:val="single" w:sz="4" w:space="0" w:color="auto"/>
            </w:tcBorders>
            <w:shd w:val="clear" w:color="auto" w:fill="D9D9D9"/>
            <w:noWrap/>
            <w:vAlign w:val="center"/>
          </w:tcPr>
          <w:p w14:paraId="36D0F815" w14:textId="77777777" w:rsidR="008565E1" w:rsidRPr="00A124C2" w:rsidRDefault="008565E1" w:rsidP="00C11138">
            <w:pPr>
              <w:jc w:val="center"/>
              <w:rPr>
                <w:b/>
                <w:bCs/>
                <w:sz w:val="18"/>
                <w:szCs w:val="18"/>
              </w:rPr>
            </w:pPr>
            <w:r w:rsidRPr="00A124C2">
              <w:rPr>
                <w:b/>
                <w:bCs/>
                <w:sz w:val="18"/>
                <w:szCs w:val="18"/>
              </w:rPr>
              <w:t>Pokazatelj</w:t>
            </w:r>
          </w:p>
          <w:p w14:paraId="09CA17C5" w14:textId="77777777" w:rsidR="008565E1" w:rsidRPr="00A124C2" w:rsidRDefault="008565E1" w:rsidP="00C11138">
            <w:pPr>
              <w:jc w:val="center"/>
              <w:rPr>
                <w:b/>
                <w:bCs/>
                <w:sz w:val="18"/>
                <w:szCs w:val="18"/>
              </w:rPr>
            </w:pPr>
            <w:r w:rsidRPr="00A124C2">
              <w:rPr>
                <w:b/>
                <w:bCs/>
                <w:sz w:val="18"/>
                <w:szCs w:val="18"/>
              </w:rPr>
              <w:t>rezultata</w:t>
            </w:r>
          </w:p>
          <w:p w14:paraId="28FEA7C0" w14:textId="77777777" w:rsidR="008565E1" w:rsidRPr="00A124C2" w:rsidRDefault="008565E1" w:rsidP="00C11138">
            <w:pPr>
              <w:jc w:val="center"/>
              <w:rPr>
                <w:b/>
                <w:bCs/>
                <w:sz w:val="18"/>
                <w:szCs w:val="18"/>
              </w:rPr>
            </w:pPr>
          </w:p>
        </w:tc>
        <w:tc>
          <w:tcPr>
            <w:tcW w:w="1276" w:type="dxa"/>
            <w:tcBorders>
              <w:bottom w:val="single" w:sz="4" w:space="0" w:color="auto"/>
            </w:tcBorders>
            <w:shd w:val="clear" w:color="auto" w:fill="D9D9D9"/>
            <w:vAlign w:val="center"/>
          </w:tcPr>
          <w:p w14:paraId="4C7639A8" w14:textId="77777777" w:rsidR="008565E1" w:rsidRPr="00A124C2" w:rsidRDefault="008565E1" w:rsidP="00C11138">
            <w:pPr>
              <w:jc w:val="center"/>
              <w:rPr>
                <w:b/>
                <w:bCs/>
                <w:sz w:val="18"/>
                <w:szCs w:val="18"/>
              </w:rPr>
            </w:pPr>
            <w:r w:rsidRPr="00A124C2">
              <w:rPr>
                <w:b/>
                <w:bCs/>
                <w:sz w:val="18"/>
                <w:szCs w:val="18"/>
              </w:rPr>
              <w:t>Definicija</w:t>
            </w:r>
          </w:p>
        </w:tc>
        <w:tc>
          <w:tcPr>
            <w:tcW w:w="1134" w:type="dxa"/>
            <w:tcBorders>
              <w:bottom w:val="single" w:sz="4" w:space="0" w:color="auto"/>
            </w:tcBorders>
            <w:shd w:val="clear" w:color="auto" w:fill="D9D9D9"/>
            <w:vAlign w:val="center"/>
          </w:tcPr>
          <w:p w14:paraId="6E8EB1C1" w14:textId="77777777" w:rsidR="008565E1" w:rsidRPr="00A124C2" w:rsidRDefault="008565E1" w:rsidP="00C11138">
            <w:pPr>
              <w:jc w:val="center"/>
              <w:rPr>
                <w:b/>
                <w:bCs/>
                <w:sz w:val="18"/>
                <w:szCs w:val="18"/>
              </w:rPr>
            </w:pPr>
            <w:r w:rsidRPr="00A124C2">
              <w:rPr>
                <w:b/>
                <w:bCs/>
                <w:sz w:val="18"/>
                <w:szCs w:val="18"/>
              </w:rPr>
              <w:t>Jedinica</w:t>
            </w:r>
          </w:p>
        </w:tc>
        <w:tc>
          <w:tcPr>
            <w:tcW w:w="1134" w:type="dxa"/>
            <w:tcBorders>
              <w:bottom w:val="single" w:sz="4" w:space="0" w:color="auto"/>
            </w:tcBorders>
            <w:shd w:val="clear" w:color="auto" w:fill="D9D9D9"/>
            <w:vAlign w:val="center"/>
          </w:tcPr>
          <w:p w14:paraId="1601180F" w14:textId="77777777" w:rsidR="008565E1" w:rsidRPr="00A124C2" w:rsidRDefault="008565E1" w:rsidP="00C11138">
            <w:pPr>
              <w:jc w:val="center"/>
              <w:rPr>
                <w:b/>
                <w:bCs/>
                <w:sz w:val="18"/>
                <w:szCs w:val="18"/>
              </w:rPr>
            </w:pPr>
            <w:r w:rsidRPr="00A124C2">
              <w:rPr>
                <w:b/>
                <w:bCs/>
                <w:sz w:val="18"/>
                <w:szCs w:val="18"/>
              </w:rPr>
              <w:t>Polazna vrijednost</w:t>
            </w:r>
          </w:p>
          <w:p w14:paraId="73461D24" w14:textId="4B2E49B6" w:rsidR="008565E1" w:rsidRPr="00A124C2" w:rsidRDefault="008A4752" w:rsidP="00C11138">
            <w:pPr>
              <w:jc w:val="center"/>
              <w:rPr>
                <w:b/>
                <w:bCs/>
                <w:sz w:val="18"/>
                <w:szCs w:val="18"/>
              </w:rPr>
            </w:pPr>
            <w:r w:rsidRPr="00A124C2">
              <w:rPr>
                <w:b/>
                <w:bCs/>
                <w:sz w:val="18"/>
                <w:szCs w:val="18"/>
              </w:rPr>
              <w:t>2025</w:t>
            </w:r>
            <w:r w:rsidR="008565E1" w:rsidRPr="00A124C2">
              <w:rPr>
                <w:b/>
                <w:bCs/>
                <w:sz w:val="18"/>
                <w:szCs w:val="18"/>
              </w:rPr>
              <w:t>.</w:t>
            </w:r>
          </w:p>
        </w:tc>
        <w:tc>
          <w:tcPr>
            <w:tcW w:w="1276" w:type="dxa"/>
            <w:tcBorders>
              <w:bottom w:val="single" w:sz="4" w:space="0" w:color="auto"/>
            </w:tcBorders>
            <w:shd w:val="clear" w:color="auto" w:fill="D9D9D9"/>
            <w:vAlign w:val="center"/>
          </w:tcPr>
          <w:p w14:paraId="63D8DACC" w14:textId="692A311E" w:rsidR="008565E1" w:rsidRPr="00A124C2" w:rsidRDefault="008565E1" w:rsidP="00C11138">
            <w:pPr>
              <w:jc w:val="center"/>
              <w:rPr>
                <w:b/>
                <w:bCs/>
                <w:sz w:val="18"/>
                <w:szCs w:val="18"/>
              </w:rPr>
            </w:pPr>
            <w:r w:rsidRPr="00A124C2">
              <w:rPr>
                <w:b/>
                <w:bCs/>
                <w:sz w:val="18"/>
                <w:szCs w:val="18"/>
              </w:rPr>
              <w:t>Izvor podataka</w:t>
            </w:r>
          </w:p>
        </w:tc>
        <w:tc>
          <w:tcPr>
            <w:tcW w:w="1134" w:type="dxa"/>
            <w:tcBorders>
              <w:bottom w:val="single" w:sz="4" w:space="0" w:color="auto"/>
            </w:tcBorders>
            <w:shd w:val="clear" w:color="auto" w:fill="D9D9D9"/>
            <w:vAlign w:val="center"/>
          </w:tcPr>
          <w:p w14:paraId="114EB388" w14:textId="18623996" w:rsidR="008565E1" w:rsidRPr="00A124C2" w:rsidRDefault="008565E1" w:rsidP="00C11138">
            <w:pPr>
              <w:jc w:val="center"/>
              <w:rPr>
                <w:b/>
                <w:bCs/>
                <w:sz w:val="18"/>
                <w:szCs w:val="18"/>
              </w:rPr>
            </w:pPr>
            <w:r w:rsidRPr="00A124C2">
              <w:rPr>
                <w:b/>
                <w:bCs/>
                <w:sz w:val="18"/>
                <w:szCs w:val="18"/>
              </w:rPr>
              <w:t>Ciljana vrijednost 202</w:t>
            </w:r>
            <w:r w:rsidR="003C7CDC" w:rsidRPr="00A124C2">
              <w:rPr>
                <w:b/>
                <w:bCs/>
                <w:sz w:val="18"/>
                <w:szCs w:val="18"/>
              </w:rPr>
              <w:t>6</w:t>
            </w:r>
            <w:r w:rsidRPr="00A124C2">
              <w:rPr>
                <w:b/>
                <w:bCs/>
                <w:sz w:val="18"/>
                <w:szCs w:val="18"/>
              </w:rPr>
              <w:t>.</w:t>
            </w:r>
          </w:p>
        </w:tc>
        <w:tc>
          <w:tcPr>
            <w:tcW w:w="1134" w:type="dxa"/>
            <w:tcBorders>
              <w:bottom w:val="single" w:sz="4" w:space="0" w:color="auto"/>
            </w:tcBorders>
            <w:shd w:val="clear" w:color="auto" w:fill="D9D9D9"/>
            <w:vAlign w:val="center"/>
          </w:tcPr>
          <w:p w14:paraId="134A1FB5" w14:textId="2DC0481D" w:rsidR="008565E1" w:rsidRPr="00A124C2" w:rsidRDefault="008565E1" w:rsidP="00C11138">
            <w:pPr>
              <w:jc w:val="center"/>
              <w:rPr>
                <w:b/>
                <w:bCs/>
                <w:sz w:val="18"/>
                <w:szCs w:val="18"/>
              </w:rPr>
            </w:pPr>
            <w:r w:rsidRPr="00A124C2">
              <w:rPr>
                <w:b/>
                <w:bCs/>
                <w:sz w:val="18"/>
                <w:szCs w:val="18"/>
              </w:rPr>
              <w:t>Ciljana vrijednost 202</w:t>
            </w:r>
            <w:r w:rsidR="003C7CDC" w:rsidRPr="00A124C2">
              <w:rPr>
                <w:b/>
                <w:bCs/>
                <w:sz w:val="18"/>
                <w:szCs w:val="18"/>
              </w:rPr>
              <w:t>7</w:t>
            </w:r>
            <w:r w:rsidRPr="00A124C2">
              <w:rPr>
                <w:b/>
                <w:bCs/>
                <w:sz w:val="18"/>
                <w:szCs w:val="18"/>
              </w:rPr>
              <w:t>.</w:t>
            </w:r>
          </w:p>
        </w:tc>
        <w:tc>
          <w:tcPr>
            <w:tcW w:w="1134" w:type="dxa"/>
            <w:tcBorders>
              <w:bottom w:val="single" w:sz="4" w:space="0" w:color="auto"/>
            </w:tcBorders>
            <w:shd w:val="clear" w:color="auto" w:fill="D9D9D9"/>
            <w:vAlign w:val="center"/>
          </w:tcPr>
          <w:p w14:paraId="1DAF182E" w14:textId="0818A5C7" w:rsidR="008565E1" w:rsidRPr="00A124C2" w:rsidRDefault="008565E1" w:rsidP="00C11138">
            <w:pPr>
              <w:jc w:val="center"/>
              <w:rPr>
                <w:b/>
                <w:bCs/>
                <w:sz w:val="18"/>
                <w:szCs w:val="18"/>
              </w:rPr>
            </w:pPr>
            <w:r w:rsidRPr="00A124C2">
              <w:rPr>
                <w:b/>
                <w:bCs/>
                <w:sz w:val="18"/>
                <w:szCs w:val="18"/>
              </w:rPr>
              <w:t>Ciljana vrijednost 202</w:t>
            </w:r>
            <w:r w:rsidR="003C7CDC" w:rsidRPr="00A124C2">
              <w:rPr>
                <w:b/>
                <w:bCs/>
                <w:sz w:val="18"/>
                <w:szCs w:val="18"/>
              </w:rPr>
              <w:t>8</w:t>
            </w:r>
            <w:r w:rsidRPr="00A124C2">
              <w:rPr>
                <w:b/>
                <w:bCs/>
                <w:sz w:val="18"/>
                <w:szCs w:val="18"/>
              </w:rPr>
              <w:t>.</w:t>
            </w:r>
          </w:p>
        </w:tc>
      </w:tr>
      <w:tr w:rsidR="008565E1" w:rsidRPr="00A124C2" w14:paraId="61A8B5BC" w14:textId="77777777" w:rsidTr="00067055">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14:paraId="57E2515B" w14:textId="77777777" w:rsidR="008565E1" w:rsidRPr="00A124C2" w:rsidRDefault="008565E1" w:rsidP="00C11138">
            <w:pPr>
              <w:jc w:val="center"/>
              <w:rPr>
                <w:sz w:val="22"/>
                <w:szCs w:val="22"/>
              </w:rPr>
            </w:pPr>
            <w:r w:rsidRPr="00A124C2">
              <w:rPr>
                <w:sz w:val="22"/>
                <w:szCs w:val="22"/>
              </w:rPr>
              <w:t>Broj objavljenih radova</w:t>
            </w:r>
          </w:p>
        </w:tc>
        <w:tc>
          <w:tcPr>
            <w:tcW w:w="1276" w:type="dxa"/>
            <w:tcBorders>
              <w:top w:val="single" w:sz="4" w:space="0" w:color="auto"/>
              <w:left w:val="single" w:sz="4" w:space="0" w:color="auto"/>
              <w:bottom w:val="single" w:sz="4" w:space="0" w:color="auto"/>
              <w:right w:val="single" w:sz="4" w:space="0" w:color="auto"/>
            </w:tcBorders>
            <w:noWrap/>
            <w:vAlign w:val="center"/>
          </w:tcPr>
          <w:p w14:paraId="2057E807" w14:textId="77777777" w:rsidR="008565E1" w:rsidRPr="00A124C2" w:rsidRDefault="008565E1" w:rsidP="00C11138">
            <w:pPr>
              <w:jc w:val="center"/>
              <w:rPr>
                <w:sz w:val="22"/>
                <w:szCs w:val="22"/>
              </w:rPr>
            </w:pPr>
            <w:r w:rsidRPr="00A124C2">
              <w:rPr>
                <w:sz w:val="22"/>
                <w:szCs w:val="22"/>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14:paraId="676D1175" w14:textId="77777777" w:rsidR="008565E1" w:rsidRPr="00A124C2" w:rsidRDefault="008565E1" w:rsidP="00C11138">
            <w:pPr>
              <w:jc w:val="center"/>
              <w:rPr>
                <w:sz w:val="22"/>
                <w:szCs w:val="22"/>
              </w:rPr>
            </w:pPr>
            <w:r w:rsidRPr="00A124C2">
              <w:rPr>
                <w:sz w:val="22"/>
                <w:szCs w:val="22"/>
              </w:rPr>
              <w:t xml:space="preserve">Broj objava radova u </w:t>
            </w:r>
            <w:proofErr w:type="spellStart"/>
            <w:r w:rsidRPr="00A124C2">
              <w:rPr>
                <w:sz w:val="22"/>
                <w:szCs w:val="22"/>
              </w:rPr>
              <w:t>WoS</w:t>
            </w:r>
            <w:proofErr w:type="spellEnd"/>
            <w:r w:rsidRPr="00A124C2">
              <w:rPr>
                <w:sz w:val="22"/>
                <w:szCs w:val="22"/>
              </w:rPr>
              <w:t>-u</w:t>
            </w:r>
          </w:p>
        </w:tc>
        <w:tc>
          <w:tcPr>
            <w:tcW w:w="1134" w:type="dxa"/>
            <w:tcBorders>
              <w:left w:val="single" w:sz="4" w:space="0" w:color="auto"/>
              <w:bottom w:val="single" w:sz="4" w:space="0" w:color="auto"/>
            </w:tcBorders>
            <w:noWrap/>
            <w:vAlign w:val="center"/>
          </w:tcPr>
          <w:p w14:paraId="40DC3BFB" w14:textId="77777777" w:rsidR="008565E1" w:rsidRPr="00A124C2" w:rsidRDefault="008565E1" w:rsidP="00C11138">
            <w:pPr>
              <w:jc w:val="center"/>
              <w:rPr>
                <w:sz w:val="22"/>
                <w:szCs w:val="22"/>
              </w:rPr>
            </w:pPr>
            <w:r w:rsidRPr="00A124C2">
              <w:rPr>
                <w:sz w:val="22"/>
                <w:szCs w:val="22"/>
              </w:rPr>
              <w:t>158</w:t>
            </w:r>
          </w:p>
          <w:p w14:paraId="64BEA805" w14:textId="77777777" w:rsidR="008565E1" w:rsidRPr="00A124C2" w:rsidRDefault="008565E1" w:rsidP="00C11138">
            <w:pPr>
              <w:jc w:val="center"/>
              <w:rPr>
                <w:sz w:val="22"/>
                <w:szCs w:val="22"/>
              </w:rPr>
            </w:pPr>
          </w:p>
        </w:tc>
        <w:tc>
          <w:tcPr>
            <w:tcW w:w="1276" w:type="dxa"/>
            <w:tcBorders>
              <w:bottom w:val="single" w:sz="4" w:space="0" w:color="auto"/>
            </w:tcBorders>
            <w:noWrap/>
            <w:vAlign w:val="center"/>
          </w:tcPr>
          <w:p w14:paraId="0140C540" w14:textId="734E40AC" w:rsidR="008565E1" w:rsidRPr="00A124C2" w:rsidRDefault="008565E1" w:rsidP="00C11138">
            <w:pPr>
              <w:jc w:val="center"/>
              <w:rPr>
                <w:sz w:val="22"/>
                <w:szCs w:val="22"/>
              </w:rPr>
            </w:pPr>
            <w:r w:rsidRPr="00A124C2">
              <w:rPr>
                <w:sz w:val="22"/>
                <w:szCs w:val="22"/>
              </w:rPr>
              <w:t>Prodekan za znanost / Voditelj knjižnice</w:t>
            </w:r>
          </w:p>
        </w:tc>
        <w:tc>
          <w:tcPr>
            <w:tcW w:w="1134" w:type="dxa"/>
            <w:tcBorders>
              <w:bottom w:val="single" w:sz="4" w:space="0" w:color="auto"/>
            </w:tcBorders>
            <w:noWrap/>
            <w:vAlign w:val="center"/>
          </w:tcPr>
          <w:p w14:paraId="6B016BCF" w14:textId="77777777" w:rsidR="008565E1" w:rsidRPr="00A124C2" w:rsidRDefault="008565E1" w:rsidP="00C11138">
            <w:pPr>
              <w:jc w:val="center"/>
              <w:rPr>
                <w:sz w:val="22"/>
                <w:szCs w:val="22"/>
              </w:rPr>
            </w:pPr>
          </w:p>
          <w:p w14:paraId="09EAFBDA" w14:textId="46CA45B0" w:rsidR="008565E1" w:rsidRPr="00A124C2" w:rsidRDefault="008565E1" w:rsidP="00C11138">
            <w:pPr>
              <w:jc w:val="center"/>
              <w:rPr>
                <w:sz w:val="22"/>
                <w:szCs w:val="22"/>
              </w:rPr>
            </w:pPr>
            <w:r w:rsidRPr="00A124C2">
              <w:rPr>
                <w:sz w:val="22"/>
                <w:szCs w:val="22"/>
              </w:rPr>
              <w:t>160</w:t>
            </w:r>
          </w:p>
        </w:tc>
        <w:tc>
          <w:tcPr>
            <w:tcW w:w="1134" w:type="dxa"/>
            <w:tcBorders>
              <w:bottom w:val="single" w:sz="4" w:space="0" w:color="auto"/>
            </w:tcBorders>
            <w:noWrap/>
            <w:vAlign w:val="center"/>
          </w:tcPr>
          <w:p w14:paraId="53AF270B" w14:textId="77777777" w:rsidR="008565E1" w:rsidRPr="00A124C2" w:rsidRDefault="008565E1" w:rsidP="00C11138">
            <w:pPr>
              <w:jc w:val="center"/>
              <w:rPr>
                <w:sz w:val="22"/>
                <w:szCs w:val="22"/>
              </w:rPr>
            </w:pPr>
          </w:p>
          <w:p w14:paraId="3E4BB947" w14:textId="2FD82382" w:rsidR="008565E1" w:rsidRPr="00A124C2" w:rsidRDefault="008565E1" w:rsidP="00C11138">
            <w:pPr>
              <w:jc w:val="center"/>
              <w:rPr>
                <w:sz w:val="22"/>
                <w:szCs w:val="22"/>
              </w:rPr>
            </w:pPr>
            <w:r w:rsidRPr="00A124C2">
              <w:rPr>
                <w:sz w:val="22"/>
                <w:szCs w:val="22"/>
              </w:rPr>
              <w:t>165</w:t>
            </w:r>
          </w:p>
        </w:tc>
        <w:tc>
          <w:tcPr>
            <w:tcW w:w="1134" w:type="dxa"/>
            <w:tcBorders>
              <w:bottom w:val="single" w:sz="4" w:space="0" w:color="auto"/>
            </w:tcBorders>
            <w:noWrap/>
            <w:vAlign w:val="center"/>
          </w:tcPr>
          <w:p w14:paraId="59149C66" w14:textId="77777777" w:rsidR="008565E1" w:rsidRPr="00A124C2" w:rsidRDefault="008565E1" w:rsidP="00C11138">
            <w:pPr>
              <w:jc w:val="center"/>
              <w:rPr>
                <w:sz w:val="22"/>
                <w:szCs w:val="22"/>
              </w:rPr>
            </w:pPr>
          </w:p>
          <w:p w14:paraId="4485F22E" w14:textId="01A91D58" w:rsidR="008565E1" w:rsidRPr="00A124C2" w:rsidRDefault="008565E1" w:rsidP="00C11138">
            <w:pPr>
              <w:jc w:val="center"/>
              <w:rPr>
                <w:sz w:val="22"/>
                <w:szCs w:val="22"/>
              </w:rPr>
            </w:pPr>
            <w:r w:rsidRPr="00A124C2">
              <w:rPr>
                <w:sz w:val="22"/>
                <w:szCs w:val="22"/>
              </w:rPr>
              <w:t>170</w:t>
            </w:r>
          </w:p>
        </w:tc>
      </w:tr>
      <w:tr w:rsidR="008565E1" w:rsidRPr="00A124C2" w14:paraId="4F32BE91" w14:textId="77777777" w:rsidTr="00067055">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14:paraId="2050E423" w14:textId="77777777" w:rsidR="008565E1" w:rsidRPr="00A124C2" w:rsidRDefault="008565E1" w:rsidP="00C11138">
            <w:pPr>
              <w:jc w:val="center"/>
              <w:rPr>
                <w:sz w:val="22"/>
                <w:szCs w:val="22"/>
              </w:rPr>
            </w:pPr>
            <w:r w:rsidRPr="00A124C2">
              <w:rPr>
                <w:sz w:val="22"/>
                <w:szCs w:val="22"/>
              </w:rPr>
              <w:t>Broj objavljenih radova temeljem međunarodne suradnje</w:t>
            </w:r>
          </w:p>
        </w:tc>
        <w:tc>
          <w:tcPr>
            <w:tcW w:w="1276" w:type="dxa"/>
            <w:tcBorders>
              <w:top w:val="single" w:sz="4" w:space="0" w:color="auto"/>
              <w:left w:val="single" w:sz="4" w:space="0" w:color="auto"/>
              <w:bottom w:val="single" w:sz="4" w:space="0" w:color="auto"/>
              <w:right w:val="single" w:sz="4" w:space="0" w:color="auto"/>
            </w:tcBorders>
            <w:noWrap/>
            <w:vAlign w:val="center"/>
          </w:tcPr>
          <w:p w14:paraId="5A4CC956" w14:textId="77777777" w:rsidR="008565E1" w:rsidRPr="00A124C2" w:rsidRDefault="008565E1" w:rsidP="00C11138">
            <w:pPr>
              <w:jc w:val="center"/>
              <w:rPr>
                <w:sz w:val="22"/>
                <w:szCs w:val="22"/>
              </w:rPr>
            </w:pPr>
            <w:r w:rsidRPr="00A124C2">
              <w:rPr>
                <w:sz w:val="22"/>
                <w:szCs w:val="22"/>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14:paraId="4ED4D20A" w14:textId="77777777" w:rsidR="008565E1" w:rsidRPr="00A124C2" w:rsidRDefault="008565E1" w:rsidP="00C11138">
            <w:pPr>
              <w:jc w:val="center"/>
              <w:rPr>
                <w:sz w:val="22"/>
                <w:szCs w:val="22"/>
              </w:rPr>
            </w:pPr>
            <w:r w:rsidRPr="00A124C2">
              <w:rPr>
                <w:sz w:val="22"/>
                <w:szCs w:val="22"/>
              </w:rPr>
              <w:t xml:space="preserve">Broj radova u koautorstvu s </w:t>
            </w:r>
            <w:proofErr w:type="spellStart"/>
            <w:r w:rsidRPr="00A124C2">
              <w:rPr>
                <w:sz w:val="22"/>
                <w:szCs w:val="22"/>
              </w:rPr>
              <w:t>inoz</w:t>
            </w:r>
            <w:proofErr w:type="spellEnd"/>
            <w:r w:rsidRPr="00A124C2">
              <w:rPr>
                <w:sz w:val="22"/>
                <w:szCs w:val="22"/>
              </w:rPr>
              <w:t>. autorima</w:t>
            </w:r>
          </w:p>
        </w:tc>
        <w:tc>
          <w:tcPr>
            <w:tcW w:w="1134" w:type="dxa"/>
            <w:tcBorders>
              <w:top w:val="single" w:sz="4" w:space="0" w:color="auto"/>
              <w:left w:val="single" w:sz="4" w:space="0" w:color="auto"/>
              <w:bottom w:val="single" w:sz="4" w:space="0" w:color="auto"/>
            </w:tcBorders>
            <w:noWrap/>
            <w:vAlign w:val="center"/>
          </w:tcPr>
          <w:p w14:paraId="4059CB4F" w14:textId="77777777" w:rsidR="008565E1" w:rsidRPr="00A124C2" w:rsidRDefault="008565E1" w:rsidP="00C11138">
            <w:pPr>
              <w:jc w:val="center"/>
              <w:rPr>
                <w:sz w:val="22"/>
                <w:szCs w:val="22"/>
              </w:rPr>
            </w:pPr>
            <w:r w:rsidRPr="00A124C2">
              <w:rPr>
                <w:sz w:val="22"/>
                <w:szCs w:val="22"/>
              </w:rPr>
              <w:t>37</w:t>
            </w:r>
          </w:p>
          <w:p w14:paraId="456B8B13" w14:textId="77777777" w:rsidR="008565E1" w:rsidRPr="00A124C2" w:rsidRDefault="008565E1" w:rsidP="00C11138">
            <w:pPr>
              <w:jc w:val="center"/>
              <w:rPr>
                <w:sz w:val="22"/>
                <w:szCs w:val="22"/>
              </w:rPr>
            </w:pPr>
          </w:p>
        </w:tc>
        <w:tc>
          <w:tcPr>
            <w:tcW w:w="1276" w:type="dxa"/>
            <w:tcBorders>
              <w:top w:val="single" w:sz="4" w:space="0" w:color="auto"/>
              <w:bottom w:val="single" w:sz="4" w:space="0" w:color="auto"/>
            </w:tcBorders>
            <w:noWrap/>
            <w:vAlign w:val="center"/>
          </w:tcPr>
          <w:p w14:paraId="2834FB42" w14:textId="77777777" w:rsidR="008565E1" w:rsidRPr="00A124C2" w:rsidRDefault="008565E1" w:rsidP="00C11138">
            <w:pPr>
              <w:jc w:val="center"/>
              <w:rPr>
                <w:sz w:val="22"/>
                <w:szCs w:val="22"/>
              </w:rPr>
            </w:pPr>
            <w:r w:rsidRPr="00A124C2">
              <w:rPr>
                <w:sz w:val="22"/>
                <w:szCs w:val="22"/>
              </w:rPr>
              <w:t>Prodekan za znanost / Voditelj knjižnice</w:t>
            </w:r>
          </w:p>
          <w:p w14:paraId="5F106670" w14:textId="77777777" w:rsidR="008565E1" w:rsidRPr="00A124C2" w:rsidRDefault="008565E1" w:rsidP="00C11138">
            <w:pPr>
              <w:jc w:val="center"/>
              <w:rPr>
                <w:sz w:val="22"/>
                <w:szCs w:val="22"/>
              </w:rPr>
            </w:pPr>
          </w:p>
        </w:tc>
        <w:tc>
          <w:tcPr>
            <w:tcW w:w="1134" w:type="dxa"/>
            <w:tcBorders>
              <w:top w:val="single" w:sz="4" w:space="0" w:color="auto"/>
              <w:bottom w:val="single" w:sz="4" w:space="0" w:color="auto"/>
            </w:tcBorders>
            <w:noWrap/>
            <w:vAlign w:val="center"/>
          </w:tcPr>
          <w:p w14:paraId="1336B985" w14:textId="26695414" w:rsidR="008565E1" w:rsidRPr="00A124C2" w:rsidRDefault="008565E1" w:rsidP="00C11138">
            <w:pPr>
              <w:jc w:val="center"/>
              <w:rPr>
                <w:sz w:val="22"/>
                <w:szCs w:val="22"/>
              </w:rPr>
            </w:pPr>
            <w:r w:rsidRPr="00A124C2">
              <w:rPr>
                <w:sz w:val="22"/>
                <w:szCs w:val="22"/>
              </w:rPr>
              <w:t>40</w:t>
            </w:r>
          </w:p>
        </w:tc>
        <w:tc>
          <w:tcPr>
            <w:tcW w:w="1134" w:type="dxa"/>
            <w:tcBorders>
              <w:top w:val="single" w:sz="4" w:space="0" w:color="auto"/>
              <w:bottom w:val="single" w:sz="4" w:space="0" w:color="auto"/>
            </w:tcBorders>
            <w:noWrap/>
            <w:vAlign w:val="center"/>
          </w:tcPr>
          <w:p w14:paraId="3577ED32" w14:textId="31CB5A7C" w:rsidR="008565E1" w:rsidRPr="00A124C2" w:rsidRDefault="008565E1" w:rsidP="00C11138">
            <w:pPr>
              <w:jc w:val="center"/>
              <w:rPr>
                <w:sz w:val="22"/>
                <w:szCs w:val="22"/>
              </w:rPr>
            </w:pPr>
            <w:r w:rsidRPr="00A124C2">
              <w:rPr>
                <w:sz w:val="22"/>
                <w:szCs w:val="22"/>
              </w:rPr>
              <w:t>44</w:t>
            </w:r>
          </w:p>
        </w:tc>
        <w:tc>
          <w:tcPr>
            <w:tcW w:w="1134" w:type="dxa"/>
            <w:tcBorders>
              <w:top w:val="single" w:sz="4" w:space="0" w:color="auto"/>
              <w:bottom w:val="single" w:sz="4" w:space="0" w:color="auto"/>
            </w:tcBorders>
            <w:noWrap/>
            <w:vAlign w:val="center"/>
          </w:tcPr>
          <w:p w14:paraId="54D374C0" w14:textId="615B0B01" w:rsidR="008565E1" w:rsidRPr="00A124C2" w:rsidRDefault="008565E1" w:rsidP="00C11138">
            <w:pPr>
              <w:jc w:val="center"/>
              <w:rPr>
                <w:sz w:val="22"/>
                <w:szCs w:val="22"/>
              </w:rPr>
            </w:pPr>
            <w:r w:rsidRPr="00A124C2">
              <w:rPr>
                <w:sz w:val="22"/>
                <w:szCs w:val="22"/>
              </w:rPr>
              <w:t>45</w:t>
            </w:r>
          </w:p>
        </w:tc>
      </w:tr>
      <w:tr w:rsidR="008565E1" w:rsidRPr="00A124C2" w14:paraId="1BEEB725" w14:textId="77777777" w:rsidTr="00067055">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14:paraId="53E6F11C" w14:textId="77777777" w:rsidR="008565E1" w:rsidRPr="00A124C2" w:rsidRDefault="008565E1" w:rsidP="00C11138">
            <w:pPr>
              <w:jc w:val="center"/>
              <w:rPr>
                <w:iCs/>
                <w:sz w:val="22"/>
                <w:szCs w:val="22"/>
                <w:lang w:eastAsia="hr-HR"/>
              </w:rPr>
            </w:pPr>
            <w:r w:rsidRPr="00A124C2">
              <w:rPr>
                <w:iCs/>
                <w:sz w:val="22"/>
                <w:szCs w:val="22"/>
                <w:lang w:eastAsia="hr-HR"/>
              </w:rPr>
              <w:lastRenderedPageBreak/>
              <w:t xml:space="preserve">Broj </w:t>
            </w:r>
            <w:proofErr w:type="spellStart"/>
            <w:r w:rsidRPr="00A124C2">
              <w:rPr>
                <w:iCs/>
                <w:sz w:val="22"/>
                <w:szCs w:val="22"/>
                <w:lang w:eastAsia="hr-HR"/>
              </w:rPr>
              <w:t>doktoranada</w:t>
            </w:r>
            <w:proofErr w:type="spellEnd"/>
          </w:p>
          <w:p w14:paraId="5DBCAB4B" w14:textId="77777777" w:rsidR="008565E1" w:rsidRPr="00A124C2" w:rsidRDefault="008565E1" w:rsidP="00C11138">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2A043A35" w14:textId="77777777" w:rsidR="008565E1" w:rsidRPr="00A124C2" w:rsidRDefault="008565E1" w:rsidP="00C11138">
            <w:pPr>
              <w:jc w:val="center"/>
              <w:rPr>
                <w:sz w:val="22"/>
                <w:szCs w:val="22"/>
              </w:rPr>
            </w:pPr>
            <w:r w:rsidRPr="00A124C2">
              <w:rPr>
                <w:sz w:val="22"/>
                <w:szCs w:val="22"/>
              </w:rPr>
              <w:t xml:space="preserve">Broj zaposlenika </w:t>
            </w:r>
            <w:proofErr w:type="spellStart"/>
            <w:r w:rsidRPr="00A124C2">
              <w:rPr>
                <w:sz w:val="22"/>
                <w:szCs w:val="22"/>
              </w:rPr>
              <w:t>doktoranada</w:t>
            </w:r>
            <w:proofErr w:type="spellEnd"/>
            <w:r w:rsidRPr="00A124C2">
              <w:rPr>
                <w:sz w:val="22"/>
                <w:szCs w:val="22"/>
              </w:rPr>
              <w:t xml:space="preserve"> kojima se financira plaća sredstvima Hrvatske zaklade za znanost</w:t>
            </w:r>
          </w:p>
        </w:tc>
        <w:tc>
          <w:tcPr>
            <w:tcW w:w="1134" w:type="dxa"/>
            <w:tcBorders>
              <w:top w:val="single" w:sz="4" w:space="0" w:color="auto"/>
              <w:left w:val="single" w:sz="4" w:space="0" w:color="auto"/>
              <w:bottom w:val="single" w:sz="4" w:space="0" w:color="auto"/>
              <w:right w:val="single" w:sz="4" w:space="0" w:color="auto"/>
            </w:tcBorders>
            <w:noWrap/>
            <w:vAlign w:val="center"/>
          </w:tcPr>
          <w:p w14:paraId="7F39D48C" w14:textId="77777777" w:rsidR="008565E1" w:rsidRPr="00A124C2" w:rsidRDefault="008565E1" w:rsidP="00C11138">
            <w:pPr>
              <w:jc w:val="center"/>
              <w:rPr>
                <w:sz w:val="22"/>
                <w:szCs w:val="22"/>
              </w:rPr>
            </w:pPr>
            <w:r w:rsidRPr="00A124C2">
              <w:rPr>
                <w:sz w:val="22"/>
                <w:szCs w:val="22"/>
                <w:lang w:eastAsia="en-GB"/>
              </w:rPr>
              <w:t>broj</w:t>
            </w:r>
          </w:p>
        </w:tc>
        <w:tc>
          <w:tcPr>
            <w:tcW w:w="1134" w:type="dxa"/>
            <w:tcBorders>
              <w:top w:val="single" w:sz="4" w:space="0" w:color="auto"/>
              <w:left w:val="single" w:sz="4" w:space="0" w:color="auto"/>
              <w:bottom w:val="single" w:sz="4" w:space="0" w:color="auto"/>
            </w:tcBorders>
            <w:noWrap/>
            <w:vAlign w:val="center"/>
          </w:tcPr>
          <w:p w14:paraId="689C0222" w14:textId="7CC21BE5" w:rsidR="008565E1" w:rsidRPr="00A124C2" w:rsidRDefault="008565E1" w:rsidP="00C11138">
            <w:pPr>
              <w:jc w:val="center"/>
              <w:rPr>
                <w:sz w:val="22"/>
                <w:szCs w:val="22"/>
              </w:rPr>
            </w:pPr>
            <w:r w:rsidRPr="00A124C2">
              <w:rPr>
                <w:sz w:val="22"/>
                <w:szCs w:val="22"/>
              </w:rPr>
              <w:t>1</w:t>
            </w:r>
          </w:p>
        </w:tc>
        <w:tc>
          <w:tcPr>
            <w:tcW w:w="1276" w:type="dxa"/>
            <w:tcBorders>
              <w:top w:val="single" w:sz="4" w:space="0" w:color="auto"/>
              <w:bottom w:val="single" w:sz="4" w:space="0" w:color="auto"/>
            </w:tcBorders>
            <w:noWrap/>
            <w:vAlign w:val="center"/>
          </w:tcPr>
          <w:p w14:paraId="24DB7D32" w14:textId="77777777" w:rsidR="008565E1" w:rsidRPr="00A124C2" w:rsidRDefault="008565E1" w:rsidP="00C11138">
            <w:pPr>
              <w:jc w:val="center"/>
              <w:rPr>
                <w:sz w:val="22"/>
                <w:szCs w:val="22"/>
              </w:rPr>
            </w:pPr>
            <w:r w:rsidRPr="00A124C2">
              <w:rPr>
                <w:sz w:val="22"/>
                <w:szCs w:val="22"/>
              </w:rPr>
              <w:t>Prodekan za znanost / računovodstvo</w:t>
            </w:r>
          </w:p>
          <w:p w14:paraId="69D595F4" w14:textId="77777777" w:rsidR="008565E1" w:rsidRPr="00A124C2" w:rsidRDefault="008565E1" w:rsidP="00C11138">
            <w:pPr>
              <w:jc w:val="center"/>
              <w:rPr>
                <w:sz w:val="22"/>
                <w:szCs w:val="22"/>
              </w:rPr>
            </w:pPr>
          </w:p>
        </w:tc>
        <w:tc>
          <w:tcPr>
            <w:tcW w:w="1134" w:type="dxa"/>
            <w:tcBorders>
              <w:top w:val="single" w:sz="4" w:space="0" w:color="auto"/>
              <w:bottom w:val="single" w:sz="4" w:space="0" w:color="auto"/>
            </w:tcBorders>
            <w:noWrap/>
            <w:vAlign w:val="center"/>
          </w:tcPr>
          <w:p w14:paraId="41E68F3A" w14:textId="6AB3BCE6" w:rsidR="008565E1" w:rsidRPr="00A124C2" w:rsidRDefault="008565E1" w:rsidP="00C11138">
            <w:pPr>
              <w:jc w:val="center"/>
              <w:rPr>
                <w:sz w:val="22"/>
                <w:szCs w:val="22"/>
              </w:rPr>
            </w:pPr>
            <w:r w:rsidRPr="00A124C2">
              <w:rPr>
                <w:sz w:val="22"/>
                <w:szCs w:val="22"/>
              </w:rPr>
              <w:t>2</w:t>
            </w:r>
          </w:p>
        </w:tc>
        <w:tc>
          <w:tcPr>
            <w:tcW w:w="1134" w:type="dxa"/>
            <w:tcBorders>
              <w:top w:val="single" w:sz="4" w:space="0" w:color="auto"/>
              <w:bottom w:val="single" w:sz="4" w:space="0" w:color="auto"/>
            </w:tcBorders>
            <w:noWrap/>
            <w:vAlign w:val="center"/>
          </w:tcPr>
          <w:p w14:paraId="451178E4" w14:textId="0C62B526" w:rsidR="008565E1" w:rsidRPr="00A124C2" w:rsidRDefault="008565E1" w:rsidP="00C11138">
            <w:pPr>
              <w:jc w:val="center"/>
              <w:rPr>
                <w:sz w:val="22"/>
                <w:szCs w:val="22"/>
              </w:rPr>
            </w:pPr>
            <w:r w:rsidRPr="00A124C2">
              <w:rPr>
                <w:sz w:val="22"/>
                <w:szCs w:val="22"/>
              </w:rPr>
              <w:t>3</w:t>
            </w:r>
          </w:p>
        </w:tc>
        <w:tc>
          <w:tcPr>
            <w:tcW w:w="1134" w:type="dxa"/>
            <w:tcBorders>
              <w:top w:val="single" w:sz="4" w:space="0" w:color="auto"/>
              <w:bottom w:val="single" w:sz="4" w:space="0" w:color="auto"/>
            </w:tcBorders>
            <w:noWrap/>
            <w:vAlign w:val="center"/>
          </w:tcPr>
          <w:p w14:paraId="4A578DFB" w14:textId="41CC345E" w:rsidR="008565E1" w:rsidRPr="00A124C2" w:rsidRDefault="008565E1" w:rsidP="00C11138">
            <w:pPr>
              <w:jc w:val="center"/>
              <w:rPr>
                <w:sz w:val="22"/>
                <w:szCs w:val="22"/>
              </w:rPr>
            </w:pPr>
            <w:r w:rsidRPr="00A124C2">
              <w:rPr>
                <w:sz w:val="22"/>
                <w:szCs w:val="22"/>
              </w:rPr>
              <w:t>4</w:t>
            </w:r>
          </w:p>
        </w:tc>
      </w:tr>
      <w:tr w:rsidR="008565E1" w:rsidRPr="00A124C2" w14:paraId="3E6F08C4" w14:textId="77777777" w:rsidTr="00067055">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14:paraId="2FF4BB91" w14:textId="3CE11215" w:rsidR="008565E1" w:rsidRPr="00A124C2" w:rsidRDefault="008565E1" w:rsidP="00C11138">
            <w:pPr>
              <w:jc w:val="center"/>
              <w:rPr>
                <w:iCs/>
                <w:sz w:val="22"/>
                <w:szCs w:val="22"/>
                <w:lang w:eastAsia="hr-HR"/>
              </w:rPr>
            </w:pPr>
            <w:r w:rsidRPr="00A124C2">
              <w:rPr>
                <w:iCs/>
                <w:sz w:val="22"/>
                <w:szCs w:val="22"/>
                <w:lang w:eastAsia="hr-HR"/>
              </w:rPr>
              <w:t>Broj doktora znanosti</w:t>
            </w:r>
          </w:p>
          <w:p w14:paraId="5ACC7B32" w14:textId="77777777" w:rsidR="008565E1" w:rsidRPr="00A124C2" w:rsidRDefault="008565E1" w:rsidP="00C11138">
            <w:pPr>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719F1EFA" w14:textId="77777777" w:rsidR="008565E1" w:rsidRPr="00A124C2" w:rsidRDefault="008565E1" w:rsidP="00C11138">
            <w:pPr>
              <w:jc w:val="center"/>
              <w:rPr>
                <w:sz w:val="22"/>
                <w:szCs w:val="22"/>
              </w:rPr>
            </w:pPr>
            <w:r w:rsidRPr="00A124C2">
              <w:rPr>
                <w:iCs/>
                <w:sz w:val="22"/>
                <w:szCs w:val="22"/>
                <w:lang w:eastAsia="hr-HR"/>
              </w:rPr>
              <w:t>Broj zaposlenika koji su završili doktorski studij</w:t>
            </w:r>
          </w:p>
        </w:tc>
        <w:tc>
          <w:tcPr>
            <w:tcW w:w="1134" w:type="dxa"/>
            <w:tcBorders>
              <w:top w:val="single" w:sz="4" w:space="0" w:color="auto"/>
              <w:left w:val="single" w:sz="4" w:space="0" w:color="auto"/>
              <w:bottom w:val="single" w:sz="4" w:space="0" w:color="auto"/>
              <w:right w:val="single" w:sz="4" w:space="0" w:color="auto"/>
            </w:tcBorders>
            <w:noWrap/>
            <w:vAlign w:val="center"/>
          </w:tcPr>
          <w:p w14:paraId="007459A8" w14:textId="77777777" w:rsidR="008565E1" w:rsidRPr="00A124C2" w:rsidRDefault="008565E1" w:rsidP="00C11138">
            <w:pPr>
              <w:jc w:val="center"/>
              <w:rPr>
                <w:sz w:val="22"/>
                <w:szCs w:val="22"/>
              </w:rPr>
            </w:pPr>
            <w:r w:rsidRPr="00A124C2">
              <w:rPr>
                <w:sz w:val="22"/>
                <w:szCs w:val="22"/>
                <w:lang w:eastAsia="en-GB"/>
              </w:rPr>
              <w:t>broj</w:t>
            </w:r>
          </w:p>
        </w:tc>
        <w:tc>
          <w:tcPr>
            <w:tcW w:w="1134" w:type="dxa"/>
            <w:tcBorders>
              <w:top w:val="single" w:sz="4" w:space="0" w:color="auto"/>
              <w:left w:val="single" w:sz="4" w:space="0" w:color="auto"/>
              <w:bottom w:val="single" w:sz="4" w:space="0" w:color="auto"/>
            </w:tcBorders>
            <w:noWrap/>
            <w:vAlign w:val="center"/>
          </w:tcPr>
          <w:p w14:paraId="0AA026D3" w14:textId="5201D184" w:rsidR="008565E1" w:rsidRPr="00A124C2" w:rsidRDefault="00625F01" w:rsidP="00C11138">
            <w:pPr>
              <w:jc w:val="center"/>
              <w:rPr>
                <w:sz w:val="22"/>
                <w:szCs w:val="22"/>
              </w:rPr>
            </w:pPr>
            <w:r w:rsidRPr="00A124C2">
              <w:rPr>
                <w:sz w:val="22"/>
                <w:szCs w:val="22"/>
              </w:rPr>
              <w:t>2</w:t>
            </w:r>
          </w:p>
        </w:tc>
        <w:tc>
          <w:tcPr>
            <w:tcW w:w="1276" w:type="dxa"/>
            <w:tcBorders>
              <w:top w:val="single" w:sz="4" w:space="0" w:color="auto"/>
              <w:bottom w:val="single" w:sz="4" w:space="0" w:color="auto"/>
            </w:tcBorders>
            <w:noWrap/>
            <w:vAlign w:val="center"/>
          </w:tcPr>
          <w:p w14:paraId="3CFE273F" w14:textId="2ACF86DA" w:rsidR="008565E1" w:rsidRPr="00A124C2" w:rsidRDefault="008565E1" w:rsidP="00C11138">
            <w:pPr>
              <w:jc w:val="center"/>
              <w:rPr>
                <w:sz w:val="22"/>
                <w:szCs w:val="22"/>
              </w:rPr>
            </w:pPr>
            <w:r w:rsidRPr="00A124C2">
              <w:rPr>
                <w:sz w:val="22"/>
                <w:szCs w:val="22"/>
                <w:lang w:eastAsia="en-GB"/>
              </w:rPr>
              <w:t>Katedra kojoj zaposlenik pripada</w:t>
            </w:r>
          </w:p>
        </w:tc>
        <w:tc>
          <w:tcPr>
            <w:tcW w:w="1134" w:type="dxa"/>
            <w:tcBorders>
              <w:top w:val="single" w:sz="4" w:space="0" w:color="auto"/>
              <w:bottom w:val="single" w:sz="4" w:space="0" w:color="auto"/>
            </w:tcBorders>
            <w:noWrap/>
            <w:vAlign w:val="center"/>
          </w:tcPr>
          <w:p w14:paraId="7D3482DF" w14:textId="76752120" w:rsidR="008565E1" w:rsidRPr="00A124C2" w:rsidRDefault="00625F01" w:rsidP="00C11138">
            <w:pPr>
              <w:jc w:val="center"/>
              <w:rPr>
                <w:sz w:val="22"/>
                <w:szCs w:val="22"/>
              </w:rPr>
            </w:pPr>
            <w:r w:rsidRPr="00A124C2">
              <w:rPr>
                <w:sz w:val="22"/>
                <w:szCs w:val="22"/>
              </w:rPr>
              <w:t>3</w:t>
            </w:r>
          </w:p>
        </w:tc>
        <w:tc>
          <w:tcPr>
            <w:tcW w:w="1134" w:type="dxa"/>
            <w:tcBorders>
              <w:top w:val="single" w:sz="4" w:space="0" w:color="auto"/>
              <w:bottom w:val="single" w:sz="4" w:space="0" w:color="auto"/>
            </w:tcBorders>
            <w:noWrap/>
            <w:vAlign w:val="center"/>
          </w:tcPr>
          <w:p w14:paraId="628DAB95" w14:textId="0684B0DB" w:rsidR="008565E1" w:rsidRPr="00A124C2" w:rsidRDefault="008565E1" w:rsidP="00C11138">
            <w:pPr>
              <w:jc w:val="center"/>
              <w:rPr>
                <w:sz w:val="22"/>
                <w:szCs w:val="22"/>
              </w:rPr>
            </w:pPr>
            <w:r w:rsidRPr="00A124C2">
              <w:rPr>
                <w:sz w:val="22"/>
                <w:szCs w:val="22"/>
              </w:rPr>
              <w:t>4</w:t>
            </w:r>
          </w:p>
        </w:tc>
        <w:tc>
          <w:tcPr>
            <w:tcW w:w="1134" w:type="dxa"/>
            <w:tcBorders>
              <w:top w:val="single" w:sz="4" w:space="0" w:color="auto"/>
              <w:bottom w:val="single" w:sz="4" w:space="0" w:color="auto"/>
            </w:tcBorders>
            <w:noWrap/>
            <w:vAlign w:val="center"/>
          </w:tcPr>
          <w:p w14:paraId="6FFC55A8" w14:textId="2B816826" w:rsidR="008565E1" w:rsidRPr="00A124C2" w:rsidRDefault="008565E1" w:rsidP="00C11138">
            <w:pPr>
              <w:jc w:val="center"/>
              <w:rPr>
                <w:sz w:val="22"/>
                <w:szCs w:val="22"/>
              </w:rPr>
            </w:pPr>
            <w:r w:rsidRPr="00A124C2">
              <w:rPr>
                <w:sz w:val="22"/>
                <w:szCs w:val="22"/>
              </w:rPr>
              <w:t>5</w:t>
            </w:r>
          </w:p>
        </w:tc>
      </w:tr>
      <w:tr w:rsidR="00D53C8D" w:rsidRPr="00A124C2" w14:paraId="131106EE" w14:textId="77777777" w:rsidTr="00067055">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14:paraId="4DDC8EF2" w14:textId="0DFED4C2" w:rsidR="00D53C8D" w:rsidRPr="00A124C2" w:rsidRDefault="00276945" w:rsidP="00C11138">
            <w:pPr>
              <w:jc w:val="center"/>
              <w:rPr>
                <w:iCs/>
                <w:sz w:val="22"/>
                <w:szCs w:val="22"/>
                <w:lang w:eastAsia="hr-HR"/>
              </w:rPr>
            </w:pPr>
            <w:r w:rsidRPr="00A124C2">
              <w:rPr>
                <w:iCs/>
                <w:sz w:val="22"/>
                <w:szCs w:val="22"/>
                <w:lang w:eastAsia="hr-HR"/>
              </w:rPr>
              <w:t>Količina nove znanstveno-istraživačke opreme</w:t>
            </w:r>
          </w:p>
        </w:tc>
        <w:tc>
          <w:tcPr>
            <w:tcW w:w="1276" w:type="dxa"/>
            <w:tcBorders>
              <w:top w:val="single" w:sz="4" w:space="0" w:color="auto"/>
              <w:left w:val="single" w:sz="4" w:space="0" w:color="auto"/>
              <w:bottom w:val="single" w:sz="4" w:space="0" w:color="auto"/>
              <w:right w:val="single" w:sz="4" w:space="0" w:color="auto"/>
            </w:tcBorders>
            <w:noWrap/>
            <w:vAlign w:val="center"/>
          </w:tcPr>
          <w:p w14:paraId="2164A764" w14:textId="0027ABFE" w:rsidR="00D53C8D" w:rsidRPr="00A124C2" w:rsidRDefault="00276945" w:rsidP="00C11138">
            <w:pPr>
              <w:jc w:val="center"/>
              <w:rPr>
                <w:iCs/>
                <w:sz w:val="22"/>
                <w:szCs w:val="22"/>
                <w:lang w:eastAsia="hr-HR"/>
              </w:rPr>
            </w:pPr>
            <w:r w:rsidRPr="00A124C2">
              <w:rPr>
                <w:iCs/>
                <w:sz w:val="22"/>
                <w:szCs w:val="22"/>
                <w:lang w:eastAsia="hr-HR"/>
              </w:rPr>
              <w:t>Broj novonabavljene znanstveno-istraživačke opreme</w:t>
            </w:r>
          </w:p>
        </w:tc>
        <w:tc>
          <w:tcPr>
            <w:tcW w:w="1134" w:type="dxa"/>
            <w:tcBorders>
              <w:top w:val="single" w:sz="4" w:space="0" w:color="auto"/>
              <w:left w:val="single" w:sz="4" w:space="0" w:color="auto"/>
              <w:bottom w:val="single" w:sz="4" w:space="0" w:color="auto"/>
              <w:right w:val="single" w:sz="4" w:space="0" w:color="auto"/>
            </w:tcBorders>
            <w:noWrap/>
            <w:vAlign w:val="center"/>
          </w:tcPr>
          <w:p w14:paraId="2D767A20" w14:textId="54A1B1A3" w:rsidR="00D53C8D" w:rsidRPr="00A124C2" w:rsidRDefault="00276945" w:rsidP="00C11138">
            <w:pPr>
              <w:jc w:val="center"/>
              <w:rPr>
                <w:sz w:val="22"/>
                <w:szCs w:val="22"/>
                <w:lang w:eastAsia="en-GB"/>
              </w:rPr>
            </w:pPr>
            <w:r w:rsidRPr="00A124C2">
              <w:rPr>
                <w:sz w:val="22"/>
                <w:szCs w:val="22"/>
                <w:lang w:eastAsia="en-GB"/>
              </w:rPr>
              <w:t>broj</w:t>
            </w:r>
          </w:p>
        </w:tc>
        <w:tc>
          <w:tcPr>
            <w:tcW w:w="1134" w:type="dxa"/>
            <w:tcBorders>
              <w:top w:val="single" w:sz="4" w:space="0" w:color="auto"/>
              <w:left w:val="single" w:sz="4" w:space="0" w:color="auto"/>
            </w:tcBorders>
            <w:noWrap/>
            <w:vAlign w:val="center"/>
          </w:tcPr>
          <w:p w14:paraId="3537EC73" w14:textId="0CFDE12E" w:rsidR="00D53C8D" w:rsidRPr="00A124C2" w:rsidRDefault="00276945" w:rsidP="00C11138">
            <w:pPr>
              <w:jc w:val="center"/>
              <w:rPr>
                <w:sz w:val="22"/>
                <w:szCs w:val="22"/>
              </w:rPr>
            </w:pPr>
            <w:r w:rsidRPr="00A124C2">
              <w:rPr>
                <w:sz w:val="22"/>
                <w:szCs w:val="22"/>
              </w:rPr>
              <w:t>0</w:t>
            </w:r>
          </w:p>
        </w:tc>
        <w:tc>
          <w:tcPr>
            <w:tcW w:w="1276" w:type="dxa"/>
            <w:tcBorders>
              <w:top w:val="single" w:sz="4" w:space="0" w:color="auto"/>
            </w:tcBorders>
            <w:noWrap/>
            <w:vAlign w:val="center"/>
          </w:tcPr>
          <w:p w14:paraId="3D76D4EA" w14:textId="6E743867" w:rsidR="00D53C8D" w:rsidRPr="00A124C2" w:rsidRDefault="00276945" w:rsidP="00C11138">
            <w:pPr>
              <w:jc w:val="center"/>
              <w:rPr>
                <w:sz w:val="22"/>
                <w:szCs w:val="22"/>
                <w:lang w:eastAsia="en-GB"/>
              </w:rPr>
            </w:pPr>
            <w:r w:rsidRPr="00A124C2">
              <w:rPr>
                <w:sz w:val="22"/>
                <w:szCs w:val="22"/>
                <w:lang w:eastAsia="en-GB"/>
              </w:rPr>
              <w:t>Prodekan za poslovanje, infrastrukturu i projekte</w:t>
            </w:r>
          </w:p>
        </w:tc>
        <w:tc>
          <w:tcPr>
            <w:tcW w:w="1134" w:type="dxa"/>
            <w:tcBorders>
              <w:top w:val="single" w:sz="4" w:space="0" w:color="auto"/>
            </w:tcBorders>
            <w:noWrap/>
            <w:vAlign w:val="center"/>
          </w:tcPr>
          <w:p w14:paraId="12D2E662" w14:textId="02B45425" w:rsidR="00D53C8D" w:rsidRPr="00A124C2" w:rsidRDefault="00276945" w:rsidP="00C11138">
            <w:pPr>
              <w:jc w:val="center"/>
              <w:rPr>
                <w:sz w:val="22"/>
                <w:szCs w:val="22"/>
              </w:rPr>
            </w:pPr>
            <w:r w:rsidRPr="00A124C2">
              <w:rPr>
                <w:sz w:val="22"/>
                <w:szCs w:val="22"/>
              </w:rPr>
              <w:t>1</w:t>
            </w:r>
          </w:p>
        </w:tc>
        <w:tc>
          <w:tcPr>
            <w:tcW w:w="1134" w:type="dxa"/>
            <w:tcBorders>
              <w:top w:val="single" w:sz="4" w:space="0" w:color="auto"/>
            </w:tcBorders>
            <w:noWrap/>
            <w:vAlign w:val="center"/>
          </w:tcPr>
          <w:p w14:paraId="3FDCFB1E" w14:textId="5B0CB44C" w:rsidR="00D53C8D" w:rsidRPr="00A124C2" w:rsidRDefault="00276945" w:rsidP="00C11138">
            <w:pPr>
              <w:jc w:val="center"/>
              <w:rPr>
                <w:sz w:val="22"/>
                <w:szCs w:val="22"/>
              </w:rPr>
            </w:pPr>
            <w:r w:rsidRPr="00A124C2">
              <w:rPr>
                <w:sz w:val="22"/>
                <w:szCs w:val="22"/>
              </w:rPr>
              <w:t>1</w:t>
            </w:r>
          </w:p>
        </w:tc>
        <w:tc>
          <w:tcPr>
            <w:tcW w:w="1134" w:type="dxa"/>
            <w:tcBorders>
              <w:top w:val="single" w:sz="4" w:space="0" w:color="auto"/>
            </w:tcBorders>
            <w:noWrap/>
            <w:vAlign w:val="center"/>
          </w:tcPr>
          <w:p w14:paraId="1B9A8C9C" w14:textId="116DA048" w:rsidR="00D53C8D" w:rsidRPr="00A124C2" w:rsidRDefault="00276945" w:rsidP="00C11138">
            <w:pPr>
              <w:jc w:val="center"/>
              <w:rPr>
                <w:sz w:val="22"/>
                <w:szCs w:val="22"/>
              </w:rPr>
            </w:pPr>
            <w:r w:rsidRPr="00A124C2">
              <w:rPr>
                <w:sz w:val="22"/>
                <w:szCs w:val="22"/>
              </w:rPr>
              <w:t>2</w:t>
            </w:r>
          </w:p>
        </w:tc>
      </w:tr>
    </w:tbl>
    <w:p w14:paraId="313E93B5" w14:textId="2E221F5E" w:rsidR="008F75FC" w:rsidRPr="00A124C2" w:rsidRDefault="008F75FC" w:rsidP="00C11138">
      <w:pPr>
        <w:jc w:val="both"/>
        <w:rPr>
          <w:b/>
          <w:bCs/>
        </w:rPr>
      </w:pPr>
    </w:p>
    <w:p w14:paraId="31B8E43C" w14:textId="4466D6CB" w:rsidR="00CC0F86" w:rsidRPr="00A124C2" w:rsidRDefault="00CC0F86" w:rsidP="00C11138">
      <w:pPr>
        <w:jc w:val="both"/>
        <w:rPr>
          <w:b/>
          <w:bCs/>
        </w:rPr>
      </w:pPr>
      <w:r w:rsidRPr="00A124C2">
        <w:rPr>
          <w:b/>
          <w:bCs/>
        </w:rPr>
        <w:t>CILJ 3. POVEĆATI BROJ PRIJAVA NA ZNANSTVENE, STRUČNE I PROJEKTE U SURADNJI S GOSPODARSTVOM</w:t>
      </w:r>
    </w:p>
    <w:p w14:paraId="384B1498" w14:textId="3361E5CF" w:rsidR="0026238D" w:rsidRPr="00A124C2" w:rsidRDefault="0026238D" w:rsidP="00C11138">
      <w:pPr>
        <w:jc w:val="both"/>
        <w:rPr>
          <w:b/>
          <w:bCs/>
        </w:rPr>
      </w:pPr>
    </w:p>
    <w:p w14:paraId="3A77025B" w14:textId="75C7DF05" w:rsidR="00CC0F86" w:rsidRPr="00A124C2" w:rsidRDefault="00222B4E" w:rsidP="00C11138">
      <w:pPr>
        <w:jc w:val="both"/>
        <w:rPr>
          <w:bCs/>
        </w:rPr>
      </w:pPr>
      <w:r w:rsidRPr="00A124C2">
        <w:rPr>
          <w:bCs/>
        </w:rPr>
        <w:t>N</w:t>
      </w:r>
      <w:r w:rsidR="00FA02A6" w:rsidRPr="00A124C2">
        <w:rPr>
          <w:bCs/>
        </w:rPr>
        <w:t xml:space="preserve">astavnici i suradnici </w:t>
      </w:r>
      <w:r w:rsidRPr="00A124C2">
        <w:rPr>
          <w:bCs/>
        </w:rPr>
        <w:t xml:space="preserve">Stomatološkog fakulteta </w:t>
      </w:r>
      <w:r w:rsidR="00FA02A6" w:rsidRPr="00A124C2">
        <w:rPr>
          <w:bCs/>
        </w:rPr>
        <w:t xml:space="preserve">aktivno sudjeluju u znanstvenim projektima i prijenosu znanja u praksu. </w:t>
      </w:r>
      <w:r w:rsidRPr="00A124C2">
        <w:rPr>
          <w:bCs/>
        </w:rPr>
        <w:t>Međutim, bro</w:t>
      </w:r>
      <w:r w:rsidR="008A4752" w:rsidRPr="00A124C2">
        <w:rPr>
          <w:bCs/>
        </w:rPr>
        <w:t>j ostvarenih znanstvenih projek</w:t>
      </w:r>
      <w:r w:rsidRPr="00A124C2">
        <w:rPr>
          <w:bCs/>
        </w:rPr>
        <w:t>ata ili projekata primijenjenih istraživanja u suradnji s gospodarstvom relativno je nizak. Nastavnici i suradnici Stomatološkog fakulteta preopterećeni su u nastavi sa studentima, kliničkom radu s pacijentima, administrativnim poslovima. Stoga je jedan od osnovnih razloga za malo broj projekata nedostatak ljudskih potencijala koji bi se bavili projektima, transferom tehnologije, javnom nabavom, pa i organizacijom rada u znanstvenim laboratorijima.</w:t>
      </w:r>
    </w:p>
    <w:p w14:paraId="2BD278FC" w14:textId="77777777" w:rsidR="00FA02A6" w:rsidRPr="00A124C2" w:rsidRDefault="00FA02A6" w:rsidP="00C11138">
      <w:pPr>
        <w:jc w:val="both"/>
        <w:rPr>
          <w:b/>
          <w:bCs/>
        </w:rPr>
      </w:pPr>
    </w:p>
    <w:p w14:paraId="46A038AA" w14:textId="6E45B43F" w:rsidR="00CC0F86" w:rsidRPr="00A124C2" w:rsidRDefault="00CC0F86" w:rsidP="00C11138">
      <w:pPr>
        <w:spacing w:after="160"/>
        <w:rPr>
          <w:b/>
          <w:bCs/>
        </w:rPr>
      </w:pPr>
      <w:r w:rsidRPr="00A124C2">
        <w:rPr>
          <w:b/>
          <w:bCs/>
        </w:rPr>
        <w:t>3.1. Institucionalni znanstveno-istraživački projekti u sklopu NPOO</w:t>
      </w:r>
    </w:p>
    <w:p w14:paraId="0BAAA65B" w14:textId="77777777" w:rsidR="00CC0F86" w:rsidRPr="00A124C2" w:rsidRDefault="00CC0F86" w:rsidP="00C11138">
      <w:pPr>
        <w:spacing w:after="160"/>
        <w:jc w:val="both"/>
        <w:rPr>
          <w:bCs/>
        </w:rPr>
      </w:pPr>
      <w:r w:rsidRPr="00A124C2">
        <w:rPr>
          <w:bCs/>
        </w:rPr>
        <w:t xml:space="preserve">Fakultet je raspisao natječaj za financiranje institucionalnih projekata u sklopu NPOO i proveo potrebnu proceduru prijave i evaluacije projektnih prijedloga te provedbe projekata prihvaćenih za financiranje znanstveno-istraživačke djelatnosti na Fakultetu. Ova aktivnost će pridonijeti porastu broja radova objavljenih u bazama </w:t>
      </w:r>
      <w:proofErr w:type="spellStart"/>
      <w:r w:rsidRPr="00A124C2">
        <w:rPr>
          <w:bCs/>
        </w:rPr>
        <w:t>Scopus</w:t>
      </w:r>
      <w:proofErr w:type="spellEnd"/>
      <w:r w:rsidRPr="00A124C2">
        <w:rPr>
          <w:bCs/>
        </w:rPr>
        <w:t xml:space="preserve"> i Web </w:t>
      </w:r>
      <w:proofErr w:type="spellStart"/>
      <w:r w:rsidRPr="00A124C2">
        <w:rPr>
          <w:bCs/>
        </w:rPr>
        <w:t>of</w:t>
      </w:r>
      <w:proofErr w:type="spellEnd"/>
      <w:r w:rsidRPr="00A124C2">
        <w:rPr>
          <w:bCs/>
        </w:rPr>
        <w:t xml:space="preserve"> Science, porastu broja suradnji i projektnih prijava.</w:t>
      </w:r>
    </w:p>
    <w:p w14:paraId="1BA4B122" w14:textId="6B2ACE91" w:rsidR="00CC0F86" w:rsidRPr="00A124C2" w:rsidRDefault="00CC0F86" w:rsidP="00C11138">
      <w:pPr>
        <w:spacing w:after="160"/>
        <w:jc w:val="both"/>
        <w:rPr>
          <w:bCs/>
        </w:rPr>
      </w:pPr>
      <w:r w:rsidRPr="00A124C2">
        <w:rPr>
          <w:bCs/>
        </w:rPr>
        <w:t xml:space="preserve">S obzirom da je za prvu godinu financiranja projekata ukupni traženi iznos veći od godišnjeg dodijeljenog iznosa, u prvoj godini će se svi projekti financirati u 100% iznosu (Fakultet će sufinancirati nedostajućih </w:t>
      </w:r>
      <w:r w:rsidR="008A4752" w:rsidRPr="00A124C2">
        <w:rPr>
          <w:bCs/>
        </w:rPr>
        <w:t xml:space="preserve">34.031 </w:t>
      </w:r>
      <w:r w:rsidRPr="00A124C2">
        <w:rPr>
          <w:bCs/>
        </w:rPr>
        <w:t xml:space="preserve">eura), a u narednim godinama sukladno ostvarenim rezultatima. </w:t>
      </w:r>
    </w:p>
    <w:p w14:paraId="6B7BB079" w14:textId="6B15F87D" w:rsidR="00CC0F86" w:rsidRPr="00A124C2" w:rsidRDefault="00CC0F86" w:rsidP="00C11138">
      <w:pPr>
        <w:rPr>
          <w:b/>
          <w:color w:val="000000"/>
          <w:szCs w:val="22"/>
        </w:rPr>
      </w:pPr>
      <w:r w:rsidRPr="00A124C2">
        <w:rPr>
          <w:b/>
          <w:bCs/>
        </w:rPr>
        <w:t xml:space="preserve">3.2. </w:t>
      </w:r>
      <w:r w:rsidRPr="00A124C2">
        <w:rPr>
          <w:b/>
          <w:color w:val="000000"/>
          <w:szCs w:val="22"/>
        </w:rPr>
        <w:t>Ustrojavanje Ureda za projekte i transfer tehnologije</w:t>
      </w:r>
    </w:p>
    <w:p w14:paraId="7D9758DE" w14:textId="17555C74" w:rsidR="00CC0F86" w:rsidRPr="00A124C2" w:rsidRDefault="00CC0F86" w:rsidP="00C11138">
      <w:pPr>
        <w:spacing w:after="160"/>
        <w:jc w:val="both"/>
        <w:rPr>
          <w:bCs/>
        </w:rPr>
      </w:pPr>
      <w:r w:rsidRPr="00A124C2">
        <w:rPr>
          <w:bCs/>
        </w:rPr>
        <w:t xml:space="preserve">Kako bi se nastavnicima i znanstvenicima omogućila kvalitetna podrška u prijavi i provedbi projekata, planira se ustrojavanje Ureda za projekte i transfer tehnologije. Ured će pružati administrativnu, financijsku i savjetodavnu pomoć u pronalaženju natječaja, pripremi projektne dokumentacije i upravljanju projektima. Time će se otkloniti prepreke koje trenutno obeshrabruju zaposlenike od prijave projekata zbog preopterećenosti nastavnim i znanstvenim obvezama te složenih administrativnih procedura. Uz zaposlenje stručne osobe, financirat će se materijalni i nematerijalni troškovi rada ureda (oprema, računalo, softverske licence, edukacije, promotivne </w:t>
      </w:r>
      <w:r w:rsidRPr="00A124C2">
        <w:rPr>
          <w:bCs/>
        </w:rPr>
        <w:lastRenderedPageBreak/>
        <w:t>aktivnosti). Ova aktivnost doprinosi optimizaciji rada fakulteta, jačanju društvenog angažmana kroz povećanje sudjelovanja u nacionalnim i međunarodnim projektima te posredno modernizaciji studijskih programa kroz rezultate provedenih projekata.</w:t>
      </w:r>
    </w:p>
    <w:p w14:paraId="28A860B1" w14:textId="57FDF32C" w:rsidR="0026238D" w:rsidRPr="00A124C2" w:rsidRDefault="0026238D" w:rsidP="00C11138">
      <w:pPr>
        <w:rPr>
          <w:b/>
          <w:color w:val="000000"/>
        </w:rPr>
      </w:pPr>
      <w:r w:rsidRPr="00A124C2">
        <w:rPr>
          <w:b/>
          <w:bCs/>
        </w:rPr>
        <w:t xml:space="preserve">3.3. </w:t>
      </w:r>
      <w:r w:rsidRPr="00A124C2">
        <w:rPr>
          <w:b/>
          <w:color w:val="000000"/>
        </w:rPr>
        <w:t>Jačanje ljudskih potencijala u znanstveno-istraživačkom laboratoriju</w:t>
      </w:r>
    </w:p>
    <w:p w14:paraId="58EEA838" w14:textId="625AD13C" w:rsidR="00CC0F86" w:rsidRPr="00A124C2" w:rsidRDefault="0026238D" w:rsidP="00C11138">
      <w:pPr>
        <w:spacing w:after="160"/>
        <w:jc w:val="both"/>
        <w:rPr>
          <w:bCs/>
        </w:rPr>
      </w:pPr>
      <w:r w:rsidRPr="00A124C2">
        <w:rPr>
          <w:bCs/>
        </w:rPr>
        <w:t>Aktivnost „Jačanje ljudskih potencijala u znanstveno-istraživačkom laboratoriju“ obuhvaća zapošljavanje laboratorijskog tehničara u postojećem laboratoriju Stomatološkog fakulteta, koji do sada nije imao takvog zaposlenika. Uključivanjem tehničara osigurava se stručna podrška istraživačima u provedbi eksperimenata, pripremi uzoraka, održavanju opreme te optimizaciji laboratorijskih procesa. Na taj način se racionalizira korištenje vremena i resursa znanstvenika, povećava produktivnost i stručnost laboratorija te podiže kvaliteta znanstveno-istraživačkog rada Fakulteta. Aktivnost uključuje pokrivanje troška bruto plaće laboratorijskog tehničara, što direktno doprinosi profesionalizaciji rada i modernizaciji znanstvenog okruženja, a moguće je povezati s optimizacijom studijskih programa, razvojem karijere istraživača te društvenom odgovornošću Fakulteta kroz unap</w:t>
      </w:r>
      <w:r w:rsidR="00D04E34">
        <w:rPr>
          <w:bCs/>
        </w:rPr>
        <w:t>ređenje znanstvenih kapaciteta.</w:t>
      </w: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3"/>
        <w:gridCol w:w="1276"/>
        <w:gridCol w:w="1134"/>
        <w:gridCol w:w="1134"/>
        <w:gridCol w:w="1276"/>
        <w:gridCol w:w="1134"/>
        <w:gridCol w:w="1134"/>
        <w:gridCol w:w="1134"/>
      </w:tblGrid>
      <w:tr w:rsidR="00FA02A6" w:rsidRPr="00A124C2" w14:paraId="530D3EB2" w14:textId="77777777" w:rsidTr="00625F01">
        <w:trPr>
          <w:trHeight w:val="940"/>
        </w:trPr>
        <w:tc>
          <w:tcPr>
            <w:tcW w:w="1603" w:type="dxa"/>
            <w:shd w:val="clear" w:color="auto" w:fill="D9D9D9"/>
            <w:noWrap/>
            <w:vAlign w:val="bottom"/>
          </w:tcPr>
          <w:p w14:paraId="04814E88" w14:textId="77777777" w:rsidR="00FA02A6" w:rsidRPr="00A124C2" w:rsidRDefault="00FA02A6" w:rsidP="00C11138">
            <w:pPr>
              <w:jc w:val="center"/>
              <w:rPr>
                <w:b/>
                <w:bCs/>
                <w:sz w:val="18"/>
                <w:szCs w:val="18"/>
              </w:rPr>
            </w:pPr>
            <w:r w:rsidRPr="00A124C2">
              <w:rPr>
                <w:b/>
                <w:bCs/>
                <w:sz w:val="18"/>
                <w:szCs w:val="18"/>
              </w:rPr>
              <w:t>Pokazatelj</w:t>
            </w:r>
          </w:p>
          <w:p w14:paraId="6FAE5886" w14:textId="77777777" w:rsidR="00FA02A6" w:rsidRPr="00A124C2" w:rsidRDefault="00FA02A6" w:rsidP="00C11138">
            <w:pPr>
              <w:jc w:val="center"/>
              <w:rPr>
                <w:b/>
                <w:bCs/>
                <w:sz w:val="18"/>
                <w:szCs w:val="18"/>
              </w:rPr>
            </w:pPr>
            <w:r w:rsidRPr="00A124C2">
              <w:rPr>
                <w:b/>
                <w:bCs/>
                <w:sz w:val="18"/>
                <w:szCs w:val="18"/>
              </w:rPr>
              <w:t>rezultata</w:t>
            </w:r>
          </w:p>
          <w:p w14:paraId="0E86F176" w14:textId="77777777" w:rsidR="00FA02A6" w:rsidRPr="00A124C2" w:rsidRDefault="00FA02A6" w:rsidP="00C11138">
            <w:pPr>
              <w:jc w:val="center"/>
              <w:rPr>
                <w:b/>
                <w:bCs/>
                <w:sz w:val="18"/>
                <w:szCs w:val="18"/>
              </w:rPr>
            </w:pPr>
          </w:p>
        </w:tc>
        <w:tc>
          <w:tcPr>
            <w:tcW w:w="1276" w:type="dxa"/>
            <w:shd w:val="clear" w:color="auto" w:fill="D9D9D9"/>
            <w:vAlign w:val="center"/>
          </w:tcPr>
          <w:p w14:paraId="69E9FB2E" w14:textId="77777777" w:rsidR="00FA02A6" w:rsidRPr="00A124C2" w:rsidRDefault="00FA02A6" w:rsidP="00C11138">
            <w:pPr>
              <w:jc w:val="center"/>
              <w:rPr>
                <w:b/>
                <w:bCs/>
                <w:sz w:val="18"/>
                <w:szCs w:val="18"/>
              </w:rPr>
            </w:pPr>
            <w:r w:rsidRPr="00A124C2">
              <w:rPr>
                <w:b/>
                <w:bCs/>
                <w:sz w:val="18"/>
                <w:szCs w:val="18"/>
              </w:rPr>
              <w:t>Definicija</w:t>
            </w:r>
          </w:p>
        </w:tc>
        <w:tc>
          <w:tcPr>
            <w:tcW w:w="1134" w:type="dxa"/>
            <w:shd w:val="clear" w:color="auto" w:fill="D9D9D9"/>
            <w:vAlign w:val="center"/>
          </w:tcPr>
          <w:p w14:paraId="50560035" w14:textId="77777777" w:rsidR="00FA02A6" w:rsidRPr="00A124C2" w:rsidRDefault="00FA02A6" w:rsidP="00C11138">
            <w:pPr>
              <w:jc w:val="center"/>
              <w:rPr>
                <w:b/>
                <w:bCs/>
                <w:sz w:val="18"/>
                <w:szCs w:val="18"/>
              </w:rPr>
            </w:pPr>
            <w:r w:rsidRPr="00A124C2">
              <w:rPr>
                <w:b/>
                <w:bCs/>
                <w:sz w:val="18"/>
                <w:szCs w:val="18"/>
              </w:rPr>
              <w:t>Jedinica</w:t>
            </w:r>
          </w:p>
        </w:tc>
        <w:tc>
          <w:tcPr>
            <w:tcW w:w="1134" w:type="dxa"/>
            <w:shd w:val="clear" w:color="auto" w:fill="D9D9D9"/>
            <w:vAlign w:val="center"/>
          </w:tcPr>
          <w:p w14:paraId="0E52CBB2" w14:textId="77777777" w:rsidR="00FA02A6" w:rsidRPr="00A124C2" w:rsidRDefault="00FA02A6" w:rsidP="00C11138">
            <w:pPr>
              <w:jc w:val="center"/>
              <w:rPr>
                <w:b/>
                <w:bCs/>
                <w:sz w:val="18"/>
                <w:szCs w:val="18"/>
              </w:rPr>
            </w:pPr>
            <w:r w:rsidRPr="00A124C2">
              <w:rPr>
                <w:b/>
                <w:bCs/>
                <w:sz w:val="18"/>
                <w:szCs w:val="18"/>
              </w:rPr>
              <w:t>Polazna vrijednost</w:t>
            </w:r>
          </w:p>
          <w:p w14:paraId="195D285C" w14:textId="37141531" w:rsidR="00FA02A6" w:rsidRPr="00A124C2" w:rsidRDefault="008A4752" w:rsidP="00C11138">
            <w:pPr>
              <w:jc w:val="center"/>
              <w:rPr>
                <w:b/>
                <w:bCs/>
                <w:sz w:val="18"/>
                <w:szCs w:val="18"/>
              </w:rPr>
            </w:pPr>
            <w:r w:rsidRPr="00A124C2">
              <w:rPr>
                <w:b/>
                <w:bCs/>
                <w:sz w:val="18"/>
                <w:szCs w:val="18"/>
              </w:rPr>
              <w:t>2025</w:t>
            </w:r>
            <w:r w:rsidR="00FA02A6" w:rsidRPr="00A124C2">
              <w:rPr>
                <w:b/>
                <w:bCs/>
                <w:sz w:val="18"/>
                <w:szCs w:val="18"/>
              </w:rPr>
              <w:t>.</w:t>
            </w:r>
          </w:p>
        </w:tc>
        <w:tc>
          <w:tcPr>
            <w:tcW w:w="1276" w:type="dxa"/>
            <w:shd w:val="clear" w:color="auto" w:fill="D9D9D9"/>
            <w:vAlign w:val="center"/>
          </w:tcPr>
          <w:p w14:paraId="25E209D8" w14:textId="77777777" w:rsidR="00FA02A6" w:rsidRPr="00A124C2" w:rsidRDefault="00FA02A6" w:rsidP="00C11138">
            <w:pPr>
              <w:jc w:val="center"/>
              <w:rPr>
                <w:b/>
                <w:bCs/>
                <w:sz w:val="18"/>
                <w:szCs w:val="18"/>
              </w:rPr>
            </w:pPr>
            <w:r w:rsidRPr="00A124C2">
              <w:rPr>
                <w:b/>
                <w:bCs/>
                <w:sz w:val="18"/>
                <w:szCs w:val="18"/>
              </w:rPr>
              <w:t>Izvor podataka</w:t>
            </w:r>
          </w:p>
        </w:tc>
        <w:tc>
          <w:tcPr>
            <w:tcW w:w="1134" w:type="dxa"/>
            <w:shd w:val="clear" w:color="auto" w:fill="D9D9D9"/>
            <w:vAlign w:val="center"/>
          </w:tcPr>
          <w:p w14:paraId="6BA074B0" w14:textId="77777777" w:rsidR="00FA02A6" w:rsidRPr="00A124C2" w:rsidRDefault="00FA02A6" w:rsidP="00C11138">
            <w:pPr>
              <w:jc w:val="center"/>
              <w:rPr>
                <w:b/>
                <w:bCs/>
                <w:sz w:val="18"/>
                <w:szCs w:val="18"/>
              </w:rPr>
            </w:pPr>
            <w:r w:rsidRPr="00A124C2">
              <w:rPr>
                <w:b/>
                <w:bCs/>
                <w:sz w:val="18"/>
                <w:szCs w:val="18"/>
              </w:rPr>
              <w:t>Ciljana vrijednost 2026.</w:t>
            </w:r>
          </w:p>
        </w:tc>
        <w:tc>
          <w:tcPr>
            <w:tcW w:w="1134" w:type="dxa"/>
            <w:shd w:val="clear" w:color="auto" w:fill="D9D9D9"/>
            <w:vAlign w:val="center"/>
          </w:tcPr>
          <w:p w14:paraId="05A9803F" w14:textId="77777777" w:rsidR="00FA02A6" w:rsidRPr="00A124C2" w:rsidRDefault="00FA02A6" w:rsidP="00C11138">
            <w:pPr>
              <w:jc w:val="center"/>
              <w:rPr>
                <w:b/>
                <w:bCs/>
                <w:sz w:val="18"/>
                <w:szCs w:val="18"/>
              </w:rPr>
            </w:pPr>
            <w:r w:rsidRPr="00A124C2">
              <w:rPr>
                <w:b/>
                <w:bCs/>
                <w:sz w:val="18"/>
                <w:szCs w:val="18"/>
              </w:rPr>
              <w:t>Ciljana vrijednost 2027.</w:t>
            </w:r>
          </w:p>
        </w:tc>
        <w:tc>
          <w:tcPr>
            <w:tcW w:w="1134" w:type="dxa"/>
            <w:shd w:val="clear" w:color="auto" w:fill="D9D9D9"/>
            <w:vAlign w:val="center"/>
          </w:tcPr>
          <w:p w14:paraId="52A9B18D" w14:textId="77777777" w:rsidR="00FA02A6" w:rsidRPr="00A124C2" w:rsidRDefault="00FA02A6" w:rsidP="00C11138">
            <w:pPr>
              <w:jc w:val="center"/>
              <w:rPr>
                <w:b/>
                <w:bCs/>
                <w:sz w:val="18"/>
                <w:szCs w:val="18"/>
              </w:rPr>
            </w:pPr>
            <w:r w:rsidRPr="00A124C2">
              <w:rPr>
                <w:b/>
                <w:bCs/>
                <w:sz w:val="18"/>
                <w:szCs w:val="18"/>
              </w:rPr>
              <w:t>Ciljana vrijednost 2028.</w:t>
            </w:r>
          </w:p>
        </w:tc>
      </w:tr>
      <w:tr w:rsidR="00FA02A6" w:rsidRPr="00A124C2" w14:paraId="5A061112" w14:textId="77777777" w:rsidTr="00067055">
        <w:trPr>
          <w:trHeight w:val="940"/>
        </w:trPr>
        <w:tc>
          <w:tcPr>
            <w:tcW w:w="1603" w:type="dxa"/>
            <w:shd w:val="clear" w:color="auto" w:fill="FFFFFF" w:themeFill="background1"/>
            <w:noWrap/>
            <w:vAlign w:val="center"/>
          </w:tcPr>
          <w:p w14:paraId="50C12D10" w14:textId="393594A8" w:rsidR="00FA02A6" w:rsidRPr="00A124C2" w:rsidRDefault="00FA02A6" w:rsidP="00C11138">
            <w:pPr>
              <w:jc w:val="center"/>
              <w:rPr>
                <w:b/>
                <w:bCs/>
                <w:sz w:val="22"/>
                <w:szCs w:val="22"/>
              </w:rPr>
            </w:pPr>
            <w:r w:rsidRPr="00A124C2">
              <w:rPr>
                <w:sz w:val="22"/>
                <w:szCs w:val="22"/>
              </w:rPr>
              <w:t>Broj odobrenih nacionalnih projekata</w:t>
            </w:r>
          </w:p>
        </w:tc>
        <w:tc>
          <w:tcPr>
            <w:tcW w:w="1276" w:type="dxa"/>
            <w:shd w:val="clear" w:color="auto" w:fill="FFFFFF" w:themeFill="background1"/>
            <w:vAlign w:val="center"/>
          </w:tcPr>
          <w:p w14:paraId="1DEA93B5" w14:textId="5794BAD6" w:rsidR="00FA02A6" w:rsidRPr="00A124C2" w:rsidRDefault="00FA02A6" w:rsidP="00C11138">
            <w:pPr>
              <w:jc w:val="center"/>
              <w:rPr>
                <w:b/>
                <w:bCs/>
                <w:sz w:val="22"/>
                <w:szCs w:val="22"/>
              </w:rPr>
            </w:pPr>
            <w:r w:rsidRPr="00A124C2">
              <w:rPr>
                <w:sz w:val="22"/>
                <w:szCs w:val="22"/>
              </w:rPr>
              <w:t>Podizanje indeksa znanstvene uspješnosti</w:t>
            </w:r>
          </w:p>
        </w:tc>
        <w:tc>
          <w:tcPr>
            <w:tcW w:w="1134" w:type="dxa"/>
            <w:shd w:val="clear" w:color="auto" w:fill="FFFFFF" w:themeFill="background1"/>
            <w:vAlign w:val="center"/>
          </w:tcPr>
          <w:p w14:paraId="4B3158E0" w14:textId="7FD07A5B" w:rsidR="00FA02A6" w:rsidRPr="00A124C2" w:rsidRDefault="00FA02A6" w:rsidP="00C11138">
            <w:pPr>
              <w:jc w:val="center"/>
              <w:rPr>
                <w:b/>
                <w:bCs/>
                <w:sz w:val="22"/>
                <w:szCs w:val="22"/>
              </w:rPr>
            </w:pPr>
            <w:r w:rsidRPr="00A124C2">
              <w:rPr>
                <w:sz w:val="22"/>
                <w:szCs w:val="22"/>
              </w:rPr>
              <w:t xml:space="preserve">Broj odobrenih </w:t>
            </w:r>
            <w:proofErr w:type="spellStart"/>
            <w:r w:rsidRPr="00A124C2">
              <w:rPr>
                <w:sz w:val="22"/>
                <w:szCs w:val="22"/>
              </w:rPr>
              <w:t>nacionaln.projekata</w:t>
            </w:r>
            <w:proofErr w:type="spellEnd"/>
          </w:p>
        </w:tc>
        <w:tc>
          <w:tcPr>
            <w:tcW w:w="1134" w:type="dxa"/>
            <w:shd w:val="clear" w:color="auto" w:fill="FFFFFF" w:themeFill="background1"/>
            <w:vAlign w:val="center"/>
          </w:tcPr>
          <w:p w14:paraId="7BF2F45C" w14:textId="77777777" w:rsidR="00FA02A6" w:rsidRPr="00A124C2" w:rsidRDefault="00FA02A6" w:rsidP="00C11138">
            <w:pPr>
              <w:jc w:val="center"/>
              <w:rPr>
                <w:sz w:val="22"/>
                <w:szCs w:val="22"/>
              </w:rPr>
            </w:pPr>
            <w:r w:rsidRPr="00A124C2">
              <w:rPr>
                <w:sz w:val="22"/>
                <w:szCs w:val="22"/>
              </w:rPr>
              <w:t>3</w:t>
            </w:r>
          </w:p>
          <w:p w14:paraId="3F2B6636" w14:textId="77777777" w:rsidR="00FA02A6" w:rsidRPr="00A124C2" w:rsidRDefault="00FA02A6" w:rsidP="00C11138">
            <w:pPr>
              <w:jc w:val="center"/>
              <w:rPr>
                <w:b/>
                <w:bCs/>
                <w:sz w:val="22"/>
                <w:szCs w:val="22"/>
              </w:rPr>
            </w:pPr>
          </w:p>
        </w:tc>
        <w:tc>
          <w:tcPr>
            <w:tcW w:w="1276" w:type="dxa"/>
            <w:shd w:val="clear" w:color="auto" w:fill="FFFFFF" w:themeFill="background1"/>
            <w:vAlign w:val="center"/>
          </w:tcPr>
          <w:p w14:paraId="7EFD017A" w14:textId="32955EA4" w:rsidR="00FA02A6" w:rsidRPr="00A124C2" w:rsidRDefault="00FA02A6" w:rsidP="00C11138">
            <w:pPr>
              <w:jc w:val="center"/>
              <w:rPr>
                <w:b/>
                <w:bCs/>
                <w:sz w:val="22"/>
                <w:szCs w:val="22"/>
              </w:rPr>
            </w:pPr>
            <w:r w:rsidRPr="00A124C2">
              <w:rPr>
                <w:sz w:val="22"/>
                <w:szCs w:val="22"/>
                <w:lang w:eastAsia="en-GB"/>
              </w:rPr>
              <w:t>Prodekan za poslovanje, infrastrukturu i projekte</w:t>
            </w:r>
          </w:p>
        </w:tc>
        <w:tc>
          <w:tcPr>
            <w:tcW w:w="1134" w:type="dxa"/>
            <w:shd w:val="clear" w:color="auto" w:fill="FFFFFF" w:themeFill="background1"/>
            <w:vAlign w:val="center"/>
          </w:tcPr>
          <w:p w14:paraId="4B2E99AF" w14:textId="2276E53D" w:rsidR="00FA02A6" w:rsidRPr="00A124C2" w:rsidRDefault="00FA02A6" w:rsidP="00C11138">
            <w:pPr>
              <w:jc w:val="center"/>
              <w:rPr>
                <w:b/>
                <w:bCs/>
                <w:sz w:val="22"/>
                <w:szCs w:val="22"/>
              </w:rPr>
            </w:pPr>
            <w:r w:rsidRPr="00A124C2">
              <w:rPr>
                <w:sz w:val="22"/>
                <w:szCs w:val="22"/>
              </w:rPr>
              <w:t>4</w:t>
            </w:r>
          </w:p>
        </w:tc>
        <w:tc>
          <w:tcPr>
            <w:tcW w:w="1134" w:type="dxa"/>
            <w:shd w:val="clear" w:color="auto" w:fill="FFFFFF" w:themeFill="background1"/>
            <w:vAlign w:val="center"/>
          </w:tcPr>
          <w:p w14:paraId="55CAABDC" w14:textId="65123CB9" w:rsidR="00FA02A6" w:rsidRPr="00A124C2" w:rsidRDefault="00FA02A6" w:rsidP="00C11138">
            <w:pPr>
              <w:jc w:val="center"/>
              <w:rPr>
                <w:b/>
                <w:bCs/>
                <w:sz w:val="22"/>
                <w:szCs w:val="22"/>
              </w:rPr>
            </w:pPr>
            <w:r w:rsidRPr="00A124C2">
              <w:rPr>
                <w:sz w:val="22"/>
                <w:szCs w:val="22"/>
              </w:rPr>
              <w:t>5</w:t>
            </w:r>
          </w:p>
        </w:tc>
        <w:tc>
          <w:tcPr>
            <w:tcW w:w="1134" w:type="dxa"/>
            <w:shd w:val="clear" w:color="auto" w:fill="FFFFFF" w:themeFill="background1"/>
            <w:vAlign w:val="center"/>
          </w:tcPr>
          <w:p w14:paraId="5B2FF63B" w14:textId="07B08437" w:rsidR="00FA02A6" w:rsidRPr="00A124C2" w:rsidRDefault="00FA02A6" w:rsidP="00C11138">
            <w:pPr>
              <w:jc w:val="center"/>
              <w:rPr>
                <w:b/>
                <w:bCs/>
                <w:sz w:val="22"/>
                <w:szCs w:val="22"/>
              </w:rPr>
            </w:pPr>
            <w:r w:rsidRPr="00A124C2">
              <w:rPr>
                <w:sz w:val="22"/>
                <w:szCs w:val="22"/>
              </w:rPr>
              <w:t>5</w:t>
            </w:r>
          </w:p>
        </w:tc>
      </w:tr>
      <w:tr w:rsidR="00FA02A6" w:rsidRPr="00A124C2" w14:paraId="31E3ADD9" w14:textId="77777777" w:rsidTr="00067055">
        <w:trPr>
          <w:trHeight w:val="940"/>
        </w:trPr>
        <w:tc>
          <w:tcPr>
            <w:tcW w:w="1603" w:type="dxa"/>
            <w:shd w:val="clear" w:color="auto" w:fill="FFFFFF" w:themeFill="background1"/>
            <w:noWrap/>
            <w:vAlign w:val="center"/>
          </w:tcPr>
          <w:p w14:paraId="553356A2" w14:textId="19CCE0E3" w:rsidR="00FA02A6" w:rsidRPr="00A124C2" w:rsidRDefault="00FA02A6" w:rsidP="00C11138">
            <w:pPr>
              <w:jc w:val="center"/>
              <w:rPr>
                <w:b/>
                <w:bCs/>
                <w:sz w:val="22"/>
                <w:szCs w:val="22"/>
              </w:rPr>
            </w:pPr>
            <w:r w:rsidRPr="00A124C2">
              <w:rPr>
                <w:sz w:val="22"/>
                <w:szCs w:val="22"/>
              </w:rPr>
              <w:t>Broj odobrenih međunarodnih projekata</w:t>
            </w:r>
          </w:p>
        </w:tc>
        <w:tc>
          <w:tcPr>
            <w:tcW w:w="1276" w:type="dxa"/>
            <w:shd w:val="clear" w:color="auto" w:fill="FFFFFF" w:themeFill="background1"/>
            <w:vAlign w:val="center"/>
          </w:tcPr>
          <w:p w14:paraId="2D8F5CD2" w14:textId="63DC3310" w:rsidR="00FA02A6" w:rsidRPr="00A124C2" w:rsidRDefault="00FA02A6" w:rsidP="00C11138">
            <w:pPr>
              <w:jc w:val="center"/>
              <w:rPr>
                <w:b/>
                <w:bCs/>
                <w:sz w:val="22"/>
                <w:szCs w:val="22"/>
              </w:rPr>
            </w:pPr>
            <w:r w:rsidRPr="00A124C2">
              <w:rPr>
                <w:sz w:val="22"/>
                <w:szCs w:val="22"/>
              </w:rPr>
              <w:t>Podizanje indeksa znanstvene uspješnosti</w:t>
            </w:r>
          </w:p>
        </w:tc>
        <w:tc>
          <w:tcPr>
            <w:tcW w:w="1134" w:type="dxa"/>
            <w:shd w:val="clear" w:color="auto" w:fill="FFFFFF" w:themeFill="background1"/>
            <w:vAlign w:val="center"/>
          </w:tcPr>
          <w:p w14:paraId="6FE8A134" w14:textId="119FDB69" w:rsidR="00FA02A6" w:rsidRPr="00A124C2" w:rsidRDefault="00FA02A6" w:rsidP="00C11138">
            <w:pPr>
              <w:jc w:val="center"/>
              <w:rPr>
                <w:b/>
                <w:bCs/>
                <w:sz w:val="22"/>
                <w:szCs w:val="22"/>
              </w:rPr>
            </w:pPr>
            <w:r w:rsidRPr="00A124C2">
              <w:rPr>
                <w:sz w:val="22"/>
                <w:szCs w:val="22"/>
              </w:rPr>
              <w:t xml:space="preserve">Broj odobrenih </w:t>
            </w:r>
            <w:proofErr w:type="spellStart"/>
            <w:r w:rsidRPr="00A124C2">
              <w:rPr>
                <w:sz w:val="22"/>
                <w:szCs w:val="22"/>
              </w:rPr>
              <w:t>međunar.projekata</w:t>
            </w:r>
            <w:proofErr w:type="spellEnd"/>
          </w:p>
        </w:tc>
        <w:tc>
          <w:tcPr>
            <w:tcW w:w="1134" w:type="dxa"/>
            <w:shd w:val="clear" w:color="auto" w:fill="FFFFFF" w:themeFill="background1"/>
            <w:vAlign w:val="center"/>
          </w:tcPr>
          <w:p w14:paraId="3CB10284" w14:textId="77777777" w:rsidR="00FA02A6" w:rsidRPr="00A124C2" w:rsidRDefault="00FA02A6" w:rsidP="00C11138">
            <w:pPr>
              <w:jc w:val="center"/>
              <w:rPr>
                <w:sz w:val="22"/>
                <w:szCs w:val="22"/>
              </w:rPr>
            </w:pPr>
            <w:r w:rsidRPr="00A124C2">
              <w:rPr>
                <w:sz w:val="22"/>
                <w:szCs w:val="22"/>
              </w:rPr>
              <w:t>0</w:t>
            </w:r>
          </w:p>
          <w:p w14:paraId="4A7D3B94" w14:textId="77777777" w:rsidR="00FA02A6" w:rsidRPr="00A124C2" w:rsidRDefault="00FA02A6" w:rsidP="00C11138">
            <w:pPr>
              <w:jc w:val="center"/>
              <w:rPr>
                <w:b/>
                <w:bCs/>
                <w:sz w:val="22"/>
                <w:szCs w:val="22"/>
              </w:rPr>
            </w:pPr>
          </w:p>
        </w:tc>
        <w:tc>
          <w:tcPr>
            <w:tcW w:w="1276" w:type="dxa"/>
            <w:shd w:val="clear" w:color="auto" w:fill="FFFFFF" w:themeFill="background1"/>
            <w:vAlign w:val="center"/>
          </w:tcPr>
          <w:p w14:paraId="416387FD" w14:textId="6DBA64B5" w:rsidR="00FA02A6" w:rsidRPr="00A124C2" w:rsidRDefault="00FA02A6" w:rsidP="00C11138">
            <w:pPr>
              <w:jc w:val="center"/>
              <w:rPr>
                <w:b/>
                <w:bCs/>
                <w:sz w:val="22"/>
                <w:szCs w:val="22"/>
              </w:rPr>
            </w:pPr>
            <w:r w:rsidRPr="00A124C2">
              <w:rPr>
                <w:sz w:val="22"/>
                <w:szCs w:val="22"/>
                <w:lang w:eastAsia="en-GB"/>
              </w:rPr>
              <w:t>Prodekan za poslovanje, infrastrukturu i projekte</w:t>
            </w:r>
          </w:p>
        </w:tc>
        <w:tc>
          <w:tcPr>
            <w:tcW w:w="1134" w:type="dxa"/>
            <w:shd w:val="clear" w:color="auto" w:fill="FFFFFF" w:themeFill="background1"/>
            <w:vAlign w:val="center"/>
          </w:tcPr>
          <w:p w14:paraId="2264CBFB" w14:textId="22B65D08" w:rsidR="00FA02A6" w:rsidRPr="00A124C2" w:rsidRDefault="00FA02A6" w:rsidP="00C11138">
            <w:pPr>
              <w:jc w:val="center"/>
              <w:rPr>
                <w:b/>
                <w:bCs/>
                <w:sz w:val="22"/>
                <w:szCs w:val="22"/>
              </w:rPr>
            </w:pPr>
            <w:r w:rsidRPr="00A124C2">
              <w:rPr>
                <w:sz w:val="22"/>
                <w:szCs w:val="22"/>
              </w:rPr>
              <w:t>1</w:t>
            </w:r>
          </w:p>
        </w:tc>
        <w:tc>
          <w:tcPr>
            <w:tcW w:w="1134" w:type="dxa"/>
            <w:shd w:val="clear" w:color="auto" w:fill="FFFFFF" w:themeFill="background1"/>
            <w:vAlign w:val="center"/>
          </w:tcPr>
          <w:p w14:paraId="0FF21236" w14:textId="4754C691" w:rsidR="00FA02A6" w:rsidRPr="00A124C2" w:rsidRDefault="00FA02A6" w:rsidP="00C11138">
            <w:pPr>
              <w:jc w:val="center"/>
              <w:rPr>
                <w:b/>
                <w:bCs/>
                <w:sz w:val="22"/>
                <w:szCs w:val="22"/>
              </w:rPr>
            </w:pPr>
            <w:r w:rsidRPr="00A124C2">
              <w:rPr>
                <w:sz w:val="22"/>
                <w:szCs w:val="22"/>
              </w:rPr>
              <w:t>1</w:t>
            </w:r>
          </w:p>
        </w:tc>
        <w:tc>
          <w:tcPr>
            <w:tcW w:w="1134" w:type="dxa"/>
            <w:shd w:val="clear" w:color="auto" w:fill="FFFFFF" w:themeFill="background1"/>
            <w:vAlign w:val="center"/>
          </w:tcPr>
          <w:p w14:paraId="54B153AB" w14:textId="1A52733B" w:rsidR="00FA02A6" w:rsidRPr="00A124C2" w:rsidRDefault="00FA02A6" w:rsidP="00C11138">
            <w:pPr>
              <w:jc w:val="center"/>
              <w:rPr>
                <w:b/>
                <w:bCs/>
                <w:sz w:val="22"/>
                <w:szCs w:val="22"/>
              </w:rPr>
            </w:pPr>
            <w:r w:rsidRPr="00A124C2">
              <w:rPr>
                <w:sz w:val="22"/>
                <w:szCs w:val="22"/>
              </w:rPr>
              <w:t>1</w:t>
            </w:r>
          </w:p>
        </w:tc>
      </w:tr>
      <w:tr w:rsidR="00FA02A6" w:rsidRPr="00A124C2" w14:paraId="4EC70E5D" w14:textId="77777777" w:rsidTr="00067055">
        <w:trPr>
          <w:trHeight w:val="940"/>
        </w:trPr>
        <w:tc>
          <w:tcPr>
            <w:tcW w:w="1603" w:type="dxa"/>
            <w:shd w:val="clear" w:color="auto" w:fill="FFFFFF" w:themeFill="background1"/>
            <w:noWrap/>
            <w:vAlign w:val="center"/>
          </w:tcPr>
          <w:p w14:paraId="469EBF5A" w14:textId="681B6E01" w:rsidR="00FA02A6" w:rsidRPr="00A124C2" w:rsidRDefault="00FA02A6" w:rsidP="00C11138">
            <w:pPr>
              <w:jc w:val="center"/>
              <w:rPr>
                <w:b/>
                <w:bCs/>
                <w:sz w:val="22"/>
                <w:szCs w:val="22"/>
              </w:rPr>
            </w:pPr>
            <w:r w:rsidRPr="00A124C2">
              <w:rPr>
                <w:sz w:val="22"/>
                <w:szCs w:val="22"/>
              </w:rPr>
              <w:t>Broj projektnih prijava u suradnji s gospodarstvom</w:t>
            </w:r>
          </w:p>
        </w:tc>
        <w:tc>
          <w:tcPr>
            <w:tcW w:w="1276" w:type="dxa"/>
            <w:shd w:val="clear" w:color="auto" w:fill="FFFFFF" w:themeFill="background1"/>
            <w:vAlign w:val="center"/>
          </w:tcPr>
          <w:p w14:paraId="531FC659" w14:textId="7F5818D1" w:rsidR="00FA02A6" w:rsidRPr="00A124C2" w:rsidRDefault="00FA02A6" w:rsidP="00C11138">
            <w:pPr>
              <w:jc w:val="center"/>
              <w:rPr>
                <w:b/>
                <w:bCs/>
                <w:sz w:val="22"/>
                <w:szCs w:val="22"/>
              </w:rPr>
            </w:pPr>
            <w:r w:rsidRPr="00A124C2">
              <w:rPr>
                <w:color w:val="000000"/>
                <w:sz w:val="22"/>
                <w:szCs w:val="22"/>
              </w:rPr>
              <w:t xml:space="preserve">Broj uspješnih projektnih prijava za projekte primijenjenih istraživanja (od čega: </w:t>
            </w:r>
            <w:proofErr w:type="spellStart"/>
            <w:r w:rsidRPr="00A124C2">
              <w:rPr>
                <w:color w:val="000000"/>
                <w:sz w:val="22"/>
                <w:szCs w:val="22"/>
              </w:rPr>
              <w:t>suradni</w:t>
            </w:r>
            <w:proofErr w:type="spellEnd"/>
            <w:r w:rsidRPr="00A124C2">
              <w:rPr>
                <w:color w:val="000000"/>
                <w:sz w:val="22"/>
                <w:szCs w:val="22"/>
              </w:rPr>
              <w:t xml:space="preserve"> projekti s gospodarstvom ili u kulturi i obrazovanju)</w:t>
            </w:r>
          </w:p>
        </w:tc>
        <w:tc>
          <w:tcPr>
            <w:tcW w:w="1134" w:type="dxa"/>
            <w:shd w:val="clear" w:color="auto" w:fill="FFFFFF" w:themeFill="background1"/>
            <w:vAlign w:val="center"/>
          </w:tcPr>
          <w:p w14:paraId="05091855" w14:textId="71BCFED0" w:rsidR="00FA02A6" w:rsidRPr="00A124C2" w:rsidRDefault="00FA02A6" w:rsidP="00C11138">
            <w:pPr>
              <w:jc w:val="center"/>
              <w:rPr>
                <w:b/>
                <w:bCs/>
                <w:sz w:val="22"/>
                <w:szCs w:val="22"/>
              </w:rPr>
            </w:pPr>
            <w:r w:rsidRPr="00A124C2">
              <w:rPr>
                <w:sz w:val="22"/>
                <w:szCs w:val="22"/>
              </w:rPr>
              <w:t>Broj prijavljenih projekata primijenjenih istraživanja</w:t>
            </w:r>
          </w:p>
        </w:tc>
        <w:tc>
          <w:tcPr>
            <w:tcW w:w="1134" w:type="dxa"/>
            <w:shd w:val="clear" w:color="auto" w:fill="FFFFFF" w:themeFill="background1"/>
            <w:vAlign w:val="center"/>
          </w:tcPr>
          <w:p w14:paraId="48F719BE" w14:textId="7A88592F" w:rsidR="00FA02A6" w:rsidRPr="00A124C2" w:rsidRDefault="00FA02A6" w:rsidP="00C11138">
            <w:pPr>
              <w:jc w:val="center"/>
              <w:rPr>
                <w:b/>
                <w:bCs/>
                <w:sz w:val="22"/>
                <w:szCs w:val="22"/>
              </w:rPr>
            </w:pPr>
            <w:r w:rsidRPr="00A124C2">
              <w:rPr>
                <w:sz w:val="22"/>
                <w:szCs w:val="22"/>
              </w:rPr>
              <w:t>1</w:t>
            </w:r>
          </w:p>
        </w:tc>
        <w:tc>
          <w:tcPr>
            <w:tcW w:w="1276" w:type="dxa"/>
            <w:shd w:val="clear" w:color="auto" w:fill="FFFFFF" w:themeFill="background1"/>
            <w:vAlign w:val="center"/>
          </w:tcPr>
          <w:p w14:paraId="4AA375F3" w14:textId="5BD2685E" w:rsidR="00FA02A6" w:rsidRPr="00A124C2" w:rsidRDefault="00FA02A6" w:rsidP="00C11138">
            <w:pPr>
              <w:jc w:val="center"/>
              <w:rPr>
                <w:b/>
                <w:bCs/>
                <w:sz w:val="22"/>
                <w:szCs w:val="22"/>
              </w:rPr>
            </w:pPr>
            <w:r w:rsidRPr="00A124C2">
              <w:rPr>
                <w:sz w:val="22"/>
                <w:szCs w:val="22"/>
                <w:lang w:eastAsia="en-GB"/>
              </w:rPr>
              <w:t>Prodekan za poslovanje, infrastrukturu i projekte</w:t>
            </w:r>
          </w:p>
        </w:tc>
        <w:tc>
          <w:tcPr>
            <w:tcW w:w="1134" w:type="dxa"/>
            <w:shd w:val="clear" w:color="auto" w:fill="FFFFFF" w:themeFill="background1"/>
            <w:vAlign w:val="center"/>
          </w:tcPr>
          <w:p w14:paraId="7BF0C2A4" w14:textId="31FAC793" w:rsidR="00FA02A6" w:rsidRPr="00A124C2" w:rsidRDefault="00FA02A6" w:rsidP="00C11138">
            <w:pPr>
              <w:jc w:val="center"/>
              <w:rPr>
                <w:b/>
                <w:bCs/>
                <w:sz w:val="22"/>
                <w:szCs w:val="22"/>
              </w:rPr>
            </w:pPr>
            <w:r w:rsidRPr="00A124C2">
              <w:rPr>
                <w:sz w:val="22"/>
                <w:szCs w:val="22"/>
              </w:rPr>
              <w:t>2</w:t>
            </w:r>
          </w:p>
        </w:tc>
        <w:tc>
          <w:tcPr>
            <w:tcW w:w="1134" w:type="dxa"/>
            <w:shd w:val="clear" w:color="auto" w:fill="FFFFFF" w:themeFill="background1"/>
            <w:vAlign w:val="center"/>
          </w:tcPr>
          <w:p w14:paraId="5E6805D6" w14:textId="7CC71BAE" w:rsidR="00FA02A6" w:rsidRPr="00A124C2" w:rsidRDefault="00FA02A6" w:rsidP="00C11138">
            <w:pPr>
              <w:jc w:val="center"/>
              <w:rPr>
                <w:b/>
                <w:bCs/>
                <w:sz w:val="22"/>
                <w:szCs w:val="22"/>
              </w:rPr>
            </w:pPr>
            <w:r w:rsidRPr="00A124C2">
              <w:rPr>
                <w:sz w:val="22"/>
                <w:szCs w:val="22"/>
              </w:rPr>
              <w:t>3</w:t>
            </w:r>
          </w:p>
        </w:tc>
        <w:tc>
          <w:tcPr>
            <w:tcW w:w="1134" w:type="dxa"/>
            <w:shd w:val="clear" w:color="auto" w:fill="FFFFFF" w:themeFill="background1"/>
            <w:vAlign w:val="center"/>
          </w:tcPr>
          <w:p w14:paraId="57B4D11C" w14:textId="7D7DD4C6" w:rsidR="00FA02A6" w:rsidRPr="00A124C2" w:rsidRDefault="00FA02A6" w:rsidP="00C11138">
            <w:pPr>
              <w:jc w:val="center"/>
              <w:rPr>
                <w:b/>
                <w:bCs/>
                <w:sz w:val="22"/>
                <w:szCs w:val="22"/>
              </w:rPr>
            </w:pPr>
            <w:r w:rsidRPr="00A124C2">
              <w:rPr>
                <w:sz w:val="22"/>
                <w:szCs w:val="22"/>
              </w:rPr>
              <w:t>4</w:t>
            </w:r>
          </w:p>
        </w:tc>
      </w:tr>
      <w:tr w:rsidR="00FA02A6" w:rsidRPr="00A124C2" w14:paraId="04197153" w14:textId="77777777" w:rsidTr="00067055">
        <w:trPr>
          <w:trHeight w:val="940"/>
        </w:trPr>
        <w:tc>
          <w:tcPr>
            <w:tcW w:w="1603" w:type="dxa"/>
            <w:shd w:val="clear" w:color="auto" w:fill="FFFFFF" w:themeFill="background1"/>
            <w:noWrap/>
            <w:vAlign w:val="center"/>
          </w:tcPr>
          <w:p w14:paraId="3C3C06A1" w14:textId="19083A83" w:rsidR="00FA02A6" w:rsidRPr="00A124C2" w:rsidRDefault="00FA02A6" w:rsidP="00C11138">
            <w:pPr>
              <w:jc w:val="center"/>
              <w:rPr>
                <w:sz w:val="22"/>
                <w:szCs w:val="22"/>
              </w:rPr>
            </w:pPr>
            <w:r w:rsidRPr="00A124C2">
              <w:rPr>
                <w:sz w:val="22"/>
                <w:szCs w:val="22"/>
              </w:rPr>
              <w:t>Broj novozaposlenih osoba u Uredu za projekte i transfer tehnologije</w:t>
            </w:r>
          </w:p>
        </w:tc>
        <w:tc>
          <w:tcPr>
            <w:tcW w:w="1276" w:type="dxa"/>
            <w:shd w:val="clear" w:color="auto" w:fill="FFFFFF" w:themeFill="background1"/>
            <w:vAlign w:val="center"/>
          </w:tcPr>
          <w:p w14:paraId="65D73177" w14:textId="2B689FFC" w:rsidR="00FA02A6" w:rsidRPr="00A124C2" w:rsidRDefault="00FA02A6" w:rsidP="00C11138">
            <w:pPr>
              <w:jc w:val="center"/>
              <w:rPr>
                <w:color w:val="000000"/>
                <w:sz w:val="22"/>
                <w:szCs w:val="22"/>
              </w:rPr>
            </w:pPr>
            <w:r w:rsidRPr="00A124C2">
              <w:rPr>
                <w:color w:val="000000"/>
                <w:sz w:val="22"/>
                <w:szCs w:val="22"/>
              </w:rPr>
              <w:t>Broj novih zaposlenika</w:t>
            </w:r>
          </w:p>
        </w:tc>
        <w:tc>
          <w:tcPr>
            <w:tcW w:w="1134" w:type="dxa"/>
            <w:shd w:val="clear" w:color="auto" w:fill="FFFFFF" w:themeFill="background1"/>
            <w:vAlign w:val="center"/>
          </w:tcPr>
          <w:p w14:paraId="0B91A06A" w14:textId="78772DD3" w:rsidR="00FA02A6" w:rsidRPr="00A124C2" w:rsidRDefault="00FA02A6" w:rsidP="00C11138">
            <w:pPr>
              <w:jc w:val="center"/>
              <w:rPr>
                <w:sz w:val="22"/>
                <w:szCs w:val="22"/>
              </w:rPr>
            </w:pPr>
            <w:r w:rsidRPr="00A124C2">
              <w:rPr>
                <w:sz w:val="22"/>
                <w:szCs w:val="22"/>
              </w:rPr>
              <w:t>Broj</w:t>
            </w:r>
          </w:p>
        </w:tc>
        <w:tc>
          <w:tcPr>
            <w:tcW w:w="1134" w:type="dxa"/>
            <w:shd w:val="clear" w:color="auto" w:fill="FFFFFF" w:themeFill="background1"/>
            <w:vAlign w:val="center"/>
          </w:tcPr>
          <w:p w14:paraId="6CC3B17C" w14:textId="0F25E520" w:rsidR="00FA02A6" w:rsidRPr="00A124C2" w:rsidRDefault="00FA02A6" w:rsidP="00C11138">
            <w:pPr>
              <w:jc w:val="center"/>
              <w:rPr>
                <w:sz w:val="22"/>
                <w:szCs w:val="22"/>
              </w:rPr>
            </w:pPr>
            <w:r w:rsidRPr="00A124C2">
              <w:rPr>
                <w:sz w:val="22"/>
                <w:szCs w:val="22"/>
              </w:rPr>
              <w:t>0</w:t>
            </w:r>
          </w:p>
        </w:tc>
        <w:tc>
          <w:tcPr>
            <w:tcW w:w="1276" w:type="dxa"/>
            <w:shd w:val="clear" w:color="auto" w:fill="FFFFFF" w:themeFill="background1"/>
            <w:vAlign w:val="center"/>
          </w:tcPr>
          <w:p w14:paraId="2A7CDDFB" w14:textId="0ECF4214" w:rsidR="00FA02A6" w:rsidRPr="00A124C2" w:rsidRDefault="00FA02A6" w:rsidP="00C11138">
            <w:pPr>
              <w:jc w:val="center"/>
              <w:rPr>
                <w:sz w:val="22"/>
                <w:szCs w:val="22"/>
                <w:lang w:eastAsia="en-GB"/>
              </w:rPr>
            </w:pPr>
            <w:r w:rsidRPr="00A124C2">
              <w:rPr>
                <w:sz w:val="22"/>
                <w:szCs w:val="22"/>
                <w:lang w:eastAsia="en-GB"/>
              </w:rPr>
              <w:t>Prodekan za poslovanje, infrastrukturu i projekte</w:t>
            </w:r>
          </w:p>
        </w:tc>
        <w:tc>
          <w:tcPr>
            <w:tcW w:w="1134" w:type="dxa"/>
            <w:shd w:val="clear" w:color="auto" w:fill="FFFFFF" w:themeFill="background1"/>
            <w:vAlign w:val="center"/>
          </w:tcPr>
          <w:p w14:paraId="135CAA72" w14:textId="4026C372" w:rsidR="00FA02A6" w:rsidRPr="00A124C2" w:rsidRDefault="00FA02A6" w:rsidP="00C11138">
            <w:pPr>
              <w:jc w:val="center"/>
              <w:rPr>
                <w:sz w:val="22"/>
                <w:szCs w:val="22"/>
              </w:rPr>
            </w:pPr>
            <w:r w:rsidRPr="00A124C2">
              <w:rPr>
                <w:sz w:val="22"/>
                <w:szCs w:val="22"/>
              </w:rPr>
              <w:t>1</w:t>
            </w:r>
          </w:p>
        </w:tc>
        <w:tc>
          <w:tcPr>
            <w:tcW w:w="1134" w:type="dxa"/>
            <w:shd w:val="clear" w:color="auto" w:fill="FFFFFF" w:themeFill="background1"/>
            <w:vAlign w:val="center"/>
          </w:tcPr>
          <w:p w14:paraId="65039D18" w14:textId="003299B5" w:rsidR="00FA02A6" w:rsidRPr="00A124C2" w:rsidRDefault="00FA02A6" w:rsidP="00C11138">
            <w:pPr>
              <w:jc w:val="center"/>
              <w:rPr>
                <w:sz w:val="22"/>
                <w:szCs w:val="22"/>
              </w:rPr>
            </w:pPr>
            <w:r w:rsidRPr="00A124C2">
              <w:rPr>
                <w:sz w:val="22"/>
                <w:szCs w:val="22"/>
              </w:rPr>
              <w:t>1</w:t>
            </w:r>
          </w:p>
        </w:tc>
        <w:tc>
          <w:tcPr>
            <w:tcW w:w="1134" w:type="dxa"/>
            <w:shd w:val="clear" w:color="auto" w:fill="FFFFFF" w:themeFill="background1"/>
            <w:vAlign w:val="center"/>
          </w:tcPr>
          <w:p w14:paraId="56AE9F13" w14:textId="303F7558" w:rsidR="00FA02A6" w:rsidRPr="00A124C2" w:rsidRDefault="00FA02A6" w:rsidP="00C11138">
            <w:pPr>
              <w:jc w:val="center"/>
              <w:rPr>
                <w:sz w:val="22"/>
                <w:szCs w:val="22"/>
              </w:rPr>
            </w:pPr>
            <w:r w:rsidRPr="00A124C2">
              <w:rPr>
                <w:sz w:val="22"/>
                <w:szCs w:val="22"/>
              </w:rPr>
              <w:t>0</w:t>
            </w:r>
          </w:p>
        </w:tc>
      </w:tr>
      <w:tr w:rsidR="00FA02A6" w:rsidRPr="00A124C2" w14:paraId="61755E4B" w14:textId="77777777" w:rsidTr="00067055">
        <w:trPr>
          <w:trHeight w:val="940"/>
        </w:trPr>
        <w:tc>
          <w:tcPr>
            <w:tcW w:w="1603" w:type="dxa"/>
            <w:tcBorders>
              <w:bottom w:val="single" w:sz="4" w:space="0" w:color="auto"/>
            </w:tcBorders>
            <w:shd w:val="clear" w:color="auto" w:fill="FFFFFF" w:themeFill="background1"/>
            <w:noWrap/>
            <w:vAlign w:val="center"/>
          </w:tcPr>
          <w:p w14:paraId="775B63F9" w14:textId="4A20636B" w:rsidR="00FA02A6" w:rsidRPr="00A124C2" w:rsidRDefault="00FA02A6" w:rsidP="00C11138">
            <w:pPr>
              <w:jc w:val="center"/>
              <w:rPr>
                <w:sz w:val="22"/>
                <w:szCs w:val="22"/>
              </w:rPr>
            </w:pPr>
            <w:r w:rsidRPr="00A124C2">
              <w:rPr>
                <w:sz w:val="22"/>
                <w:szCs w:val="22"/>
              </w:rPr>
              <w:lastRenderedPageBreak/>
              <w:t>Broj novozaposlenih osoba u znanstvenim laboratorijima</w:t>
            </w:r>
          </w:p>
        </w:tc>
        <w:tc>
          <w:tcPr>
            <w:tcW w:w="1276" w:type="dxa"/>
            <w:tcBorders>
              <w:bottom w:val="single" w:sz="4" w:space="0" w:color="auto"/>
            </w:tcBorders>
            <w:shd w:val="clear" w:color="auto" w:fill="FFFFFF" w:themeFill="background1"/>
            <w:vAlign w:val="center"/>
          </w:tcPr>
          <w:p w14:paraId="08174BB6" w14:textId="21200D86" w:rsidR="00FA02A6" w:rsidRPr="00A124C2" w:rsidRDefault="00FA02A6" w:rsidP="00C11138">
            <w:pPr>
              <w:jc w:val="center"/>
              <w:rPr>
                <w:color w:val="000000"/>
                <w:sz w:val="22"/>
                <w:szCs w:val="22"/>
              </w:rPr>
            </w:pPr>
            <w:r w:rsidRPr="00A124C2">
              <w:rPr>
                <w:color w:val="000000"/>
                <w:sz w:val="22"/>
                <w:szCs w:val="22"/>
              </w:rPr>
              <w:t>Broj novih zaposlenika</w:t>
            </w:r>
          </w:p>
        </w:tc>
        <w:tc>
          <w:tcPr>
            <w:tcW w:w="1134" w:type="dxa"/>
            <w:tcBorders>
              <w:bottom w:val="single" w:sz="4" w:space="0" w:color="auto"/>
            </w:tcBorders>
            <w:shd w:val="clear" w:color="auto" w:fill="FFFFFF" w:themeFill="background1"/>
            <w:vAlign w:val="center"/>
          </w:tcPr>
          <w:p w14:paraId="00C02929" w14:textId="65B39FCD" w:rsidR="00FA02A6" w:rsidRPr="00A124C2" w:rsidRDefault="00FA02A6" w:rsidP="00C11138">
            <w:pPr>
              <w:jc w:val="center"/>
              <w:rPr>
                <w:sz w:val="22"/>
                <w:szCs w:val="22"/>
              </w:rPr>
            </w:pPr>
            <w:r w:rsidRPr="00A124C2">
              <w:rPr>
                <w:sz w:val="22"/>
                <w:szCs w:val="22"/>
              </w:rPr>
              <w:t>Broj</w:t>
            </w:r>
          </w:p>
        </w:tc>
        <w:tc>
          <w:tcPr>
            <w:tcW w:w="1134" w:type="dxa"/>
            <w:tcBorders>
              <w:bottom w:val="single" w:sz="4" w:space="0" w:color="auto"/>
            </w:tcBorders>
            <w:shd w:val="clear" w:color="auto" w:fill="FFFFFF" w:themeFill="background1"/>
            <w:vAlign w:val="center"/>
          </w:tcPr>
          <w:p w14:paraId="66F7CB88" w14:textId="3706584F" w:rsidR="00FA02A6" w:rsidRPr="00A124C2" w:rsidRDefault="00FA02A6" w:rsidP="00C11138">
            <w:pPr>
              <w:jc w:val="center"/>
              <w:rPr>
                <w:sz w:val="22"/>
                <w:szCs w:val="22"/>
              </w:rPr>
            </w:pPr>
            <w:r w:rsidRPr="00A124C2">
              <w:rPr>
                <w:sz w:val="22"/>
                <w:szCs w:val="22"/>
              </w:rPr>
              <w:t>0</w:t>
            </w:r>
          </w:p>
        </w:tc>
        <w:tc>
          <w:tcPr>
            <w:tcW w:w="1276" w:type="dxa"/>
            <w:tcBorders>
              <w:bottom w:val="single" w:sz="4" w:space="0" w:color="auto"/>
            </w:tcBorders>
            <w:shd w:val="clear" w:color="auto" w:fill="FFFFFF" w:themeFill="background1"/>
            <w:vAlign w:val="center"/>
          </w:tcPr>
          <w:p w14:paraId="4B47FEBE" w14:textId="0976AA91" w:rsidR="00FA02A6" w:rsidRPr="00A124C2" w:rsidRDefault="00FA02A6" w:rsidP="00C11138">
            <w:pPr>
              <w:jc w:val="center"/>
              <w:rPr>
                <w:sz w:val="22"/>
                <w:szCs w:val="22"/>
                <w:lang w:eastAsia="en-GB"/>
              </w:rPr>
            </w:pPr>
            <w:r w:rsidRPr="00A124C2">
              <w:rPr>
                <w:sz w:val="22"/>
                <w:szCs w:val="22"/>
                <w:lang w:eastAsia="en-GB"/>
              </w:rPr>
              <w:t>Prodekan za poslovanje, infrastrukturu i projekte</w:t>
            </w:r>
          </w:p>
        </w:tc>
        <w:tc>
          <w:tcPr>
            <w:tcW w:w="1134" w:type="dxa"/>
            <w:tcBorders>
              <w:bottom w:val="single" w:sz="4" w:space="0" w:color="auto"/>
            </w:tcBorders>
            <w:shd w:val="clear" w:color="auto" w:fill="FFFFFF" w:themeFill="background1"/>
            <w:vAlign w:val="center"/>
          </w:tcPr>
          <w:p w14:paraId="24049844" w14:textId="287A2451" w:rsidR="00FA02A6" w:rsidRPr="00A124C2" w:rsidRDefault="00FA02A6" w:rsidP="00C11138">
            <w:pPr>
              <w:jc w:val="center"/>
              <w:rPr>
                <w:sz w:val="22"/>
                <w:szCs w:val="22"/>
              </w:rPr>
            </w:pPr>
            <w:r w:rsidRPr="00A124C2">
              <w:rPr>
                <w:sz w:val="22"/>
                <w:szCs w:val="22"/>
              </w:rPr>
              <w:t>1</w:t>
            </w:r>
          </w:p>
        </w:tc>
        <w:tc>
          <w:tcPr>
            <w:tcW w:w="1134" w:type="dxa"/>
            <w:tcBorders>
              <w:bottom w:val="single" w:sz="4" w:space="0" w:color="auto"/>
            </w:tcBorders>
            <w:shd w:val="clear" w:color="auto" w:fill="FFFFFF" w:themeFill="background1"/>
            <w:vAlign w:val="center"/>
          </w:tcPr>
          <w:p w14:paraId="5F5228FD" w14:textId="70CFEE45" w:rsidR="00FA02A6" w:rsidRPr="00A124C2" w:rsidRDefault="00FA02A6" w:rsidP="00C11138">
            <w:pPr>
              <w:jc w:val="center"/>
              <w:rPr>
                <w:sz w:val="22"/>
                <w:szCs w:val="22"/>
              </w:rPr>
            </w:pPr>
            <w:r w:rsidRPr="00A124C2">
              <w:rPr>
                <w:sz w:val="22"/>
                <w:szCs w:val="22"/>
              </w:rPr>
              <w:t>1</w:t>
            </w:r>
          </w:p>
        </w:tc>
        <w:tc>
          <w:tcPr>
            <w:tcW w:w="1134" w:type="dxa"/>
            <w:tcBorders>
              <w:bottom w:val="single" w:sz="4" w:space="0" w:color="auto"/>
            </w:tcBorders>
            <w:shd w:val="clear" w:color="auto" w:fill="FFFFFF" w:themeFill="background1"/>
            <w:vAlign w:val="center"/>
          </w:tcPr>
          <w:p w14:paraId="6DFB6C44" w14:textId="73F4CBC4" w:rsidR="00FA02A6" w:rsidRPr="00A124C2" w:rsidRDefault="00FA02A6" w:rsidP="00C11138">
            <w:pPr>
              <w:jc w:val="center"/>
              <w:rPr>
                <w:sz w:val="22"/>
                <w:szCs w:val="22"/>
              </w:rPr>
            </w:pPr>
            <w:r w:rsidRPr="00A124C2">
              <w:rPr>
                <w:sz w:val="22"/>
                <w:szCs w:val="22"/>
              </w:rPr>
              <w:t>0</w:t>
            </w:r>
          </w:p>
        </w:tc>
      </w:tr>
    </w:tbl>
    <w:p w14:paraId="21F62030" w14:textId="60E260A3" w:rsidR="00CC0F86" w:rsidRPr="00A124C2" w:rsidRDefault="00CC0F86" w:rsidP="00C11138">
      <w:pPr>
        <w:jc w:val="both"/>
        <w:rPr>
          <w:b/>
          <w:bCs/>
        </w:rPr>
      </w:pPr>
    </w:p>
    <w:p w14:paraId="0DB69BC1" w14:textId="72C659F3" w:rsidR="00583D6B" w:rsidRPr="00A124C2" w:rsidRDefault="00583D6B" w:rsidP="00C1113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cs="Times New Roman"/>
          <w:b/>
          <w:bCs/>
          <w:sz w:val="24"/>
          <w:szCs w:val="24"/>
        </w:rPr>
      </w:pPr>
      <w:r w:rsidRPr="00A124C2">
        <w:rPr>
          <w:rFonts w:cs="Times New Roman"/>
          <w:b/>
          <w:bCs/>
          <w:sz w:val="24"/>
          <w:szCs w:val="24"/>
        </w:rPr>
        <w:t xml:space="preserve">CILJ </w:t>
      </w:r>
      <w:r w:rsidR="00CC0F86" w:rsidRPr="00A124C2">
        <w:rPr>
          <w:rFonts w:cs="Times New Roman"/>
          <w:b/>
          <w:bCs/>
          <w:sz w:val="24"/>
          <w:szCs w:val="24"/>
        </w:rPr>
        <w:t>4</w:t>
      </w:r>
      <w:r w:rsidRPr="00A124C2">
        <w:rPr>
          <w:rFonts w:cs="Times New Roman"/>
          <w:b/>
          <w:bCs/>
          <w:sz w:val="24"/>
          <w:szCs w:val="24"/>
        </w:rPr>
        <w:t>. USKLADITI PONUDU I PROGRAME SVEUČ</w:t>
      </w:r>
      <w:r w:rsidRPr="00A124C2">
        <w:rPr>
          <w:rFonts w:cs="Times New Roman"/>
          <w:b/>
          <w:bCs/>
          <w:sz w:val="24"/>
          <w:szCs w:val="24"/>
          <w:lang w:val="da-DK"/>
        </w:rPr>
        <w:t>ILI</w:t>
      </w:r>
      <w:r w:rsidRPr="00A124C2">
        <w:rPr>
          <w:rFonts w:cs="Times New Roman"/>
          <w:b/>
          <w:bCs/>
          <w:sz w:val="24"/>
          <w:szCs w:val="24"/>
        </w:rPr>
        <w:t>Š</w:t>
      </w:r>
      <w:r w:rsidRPr="00A124C2">
        <w:rPr>
          <w:rFonts w:cs="Times New Roman"/>
          <w:b/>
          <w:bCs/>
          <w:sz w:val="24"/>
          <w:szCs w:val="24"/>
          <w:lang w:val="de-DE"/>
        </w:rPr>
        <w:t xml:space="preserve">NIH </w:t>
      </w:r>
      <w:r w:rsidRPr="00A124C2">
        <w:rPr>
          <w:rFonts w:cs="Times New Roman"/>
          <w:b/>
          <w:bCs/>
          <w:sz w:val="24"/>
          <w:szCs w:val="24"/>
          <w:lang w:val="nl-NL"/>
        </w:rPr>
        <w:t>SPECIJALISTI</w:t>
      </w:r>
      <w:r w:rsidRPr="00A124C2">
        <w:rPr>
          <w:rFonts w:cs="Times New Roman"/>
          <w:b/>
          <w:bCs/>
          <w:sz w:val="24"/>
          <w:szCs w:val="24"/>
        </w:rPr>
        <w:t>ČKIH STUDIJA S POTREBAMA CJELOŽ</w:t>
      </w:r>
      <w:r w:rsidRPr="00A124C2">
        <w:rPr>
          <w:rFonts w:cs="Times New Roman"/>
          <w:b/>
          <w:bCs/>
          <w:sz w:val="24"/>
          <w:szCs w:val="24"/>
          <w:lang w:val="de-DE"/>
        </w:rPr>
        <w:t>IVOTNOG USAVR</w:t>
      </w:r>
      <w:r w:rsidRPr="00A124C2">
        <w:rPr>
          <w:rFonts w:cs="Times New Roman"/>
          <w:b/>
          <w:bCs/>
          <w:sz w:val="24"/>
          <w:szCs w:val="24"/>
        </w:rPr>
        <w:t>ŠAVANJA</w:t>
      </w:r>
    </w:p>
    <w:p w14:paraId="3181EA8B" w14:textId="77777777" w:rsidR="00583D6B" w:rsidRPr="00A124C2" w:rsidRDefault="00583D6B" w:rsidP="00C1113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cs="Times New Roman"/>
          <w:b/>
          <w:bCs/>
          <w:sz w:val="24"/>
          <w:szCs w:val="24"/>
        </w:rPr>
      </w:pPr>
      <w:r w:rsidRPr="00A124C2">
        <w:rPr>
          <w:rFonts w:cs="Times New Roman"/>
          <w:b/>
          <w:bCs/>
          <w:sz w:val="24"/>
          <w:szCs w:val="24"/>
          <w:lang w:val="de-DE"/>
        </w:rPr>
        <w:t>OBRAZLO</w:t>
      </w:r>
      <w:r w:rsidRPr="00A124C2">
        <w:rPr>
          <w:rFonts w:cs="Times New Roman"/>
          <w:b/>
          <w:bCs/>
          <w:sz w:val="24"/>
          <w:szCs w:val="24"/>
        </w:rPr>
        <w:t>ŽENJE CILJA</w:t>
      </w:r>
    </w:p>
    <w:p w14:paraId="600FAF82" w14:textId="77777777" w:rsidR="00583D6B" w:rsidRPr="00A124C2" w:rsidRDefault="00583D6B" w:rsidP="00C1113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cs="Times New Roman"/>
          <w:b/>
          <w:bCs/>
          <w:sz w:val="24"/>
          <w:szCs w:val="24"/>
        </w:rPr>
      </w:pPr>
    </w:p>
    <w:p w14:paraId="54CD0656" w14:textId="77777777" w:rsidR="00583D6B" w:rsidRPr="00A124C2" w:rsidRDefault="00583D6B" w:rsidP="00C1113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cs="Times New Roman"/>
          <w:sz w:val="24"/>
          <w:szCs w:val="24"/>
        </w:rPr>
      </w:pPr>
      <w:r w:rsidRPr="00A124C2">
        <w:rPr>
          <w:rFonts w:cs="Times New Roman"/>
          <w:sz w:val="24"/>
          <w:szCs w:val="24"/>
        </w:rPr>
        <w:t xml:space="preserve">Promišljajući o potrebama suvremenih doktora dentalne medicine za kvalitetnim cjeloživotnim stručnim usavršavanjem Stomatološki fakultet je 2016. godine osuvremenio svoju ponudu sveučilišnog specijalističkog studiranja uvođenjem sveučilišnog specijalističkog studija „Dentalna </w:t>
      </w:r>
      <w:proofErr w:type="spellStart"/>
      <w:r w:rsidRPr="00A124C2">
        <w:rPr>
          <w:rFonts w:cs="Times New Roman"/>
          <w:sz w:val="24"/>
          <w:szCs w:val="24"/>
        </w:rPr>
        <w:t>implantologija</w:t>
      </w:r>
      <w:proofErr w:type="spellEnd"/>
      <w:r w:rsidRPr="00A124C2">
        <w:rPr>
          <w:rFonts w:cs="Times New Roman"/>
          <w:sz w:val="24"/>
          <w:szCs w:val="24"/>
          <w:rtl/>
          <w:lang w:val="ar-SA"/>
        </w:rPr>
        <w:t>“</w:t>
      </w:r>
      <w:r w:rsidRPr="00A124C2">
        <w:rPr>
          <w:rFonts w:cs="Times New Roman"/>
          <w:sz w:val="24"/>
          <w:szCs w:val="24"/>
        </w:rPr>
        <w:t>. Od tada se bilježi stalni napredak. Tako je 2019. godine uveden novi sveučilišni  specijalistički studij „Dentalno-medicinski turizam</w:t>
      </w:r>
      <w:r w:rsidRPr="00A124C2">
        <w:rPr>
          <w:rFonts w:cs="Times New Roman"/>
          <w:sz w:val="24"/>
          <w:szCs w:val="24"/>
          <w:rtl/>
          <w:lang w:val="ar-SA"/>
        </w:rPr>
        <w:t>“</w:t>
      </w:r>
      <w:r w:rsidRPr="00A124C2">
        <w:rPr>
          <w:rFonts w:cs="Times New Roman"/>
          <w:sz w:val="24"/>
          <w:szCs w:val="24"/>
        </w:rPr>
        <w:t>. Godine 2022. je odlukom Senata Sveučilišta u Zagrebu odobren i sveučilišni specijalistički studij „Protetika dentalne medicine</w:t>
      </w:r>
      <w:r w:rsidRPr="00A124C2">
        <w:rPr>
          <w:rFonts w:cs="Times New Roman"/>
          <w:sz w:val="24"/>
          <w:szCs w:val="24"/>
          <w:lang w:val="de-DE"/>
        </w:rPr>
        <w:t xml:space="preserve">“ </w:t>
      </w:r>
      <w:r w:rsidRPr="00A124C2">
        <w:rPr>
          <w:rFonts w:cs="Times New Roman"/>
          <w:sz w:val="24"/>
          <w:szCs w:val="24"/>
        </w:rPr>
        <w:t xml:space="preserve">koji je odmah, iste godine, upisan i u upisnik studija pri Ministarstvu znanosti i obrazovanja. Godine 2023. odobrena su i upisana još dva sveučilišna specijalistička studija "Endodoncija i restaurativna dentalna medicina" te "Estetika </w:t>
      </w:r>
      <w:proofErr w:type="spellStart"/>
      <w:r w:rsidRPr="00A124C2">
        <w:rPr>
          <w:rFonts w:cs="Times New Roman"/>
          <w:sz w:val="24"/>
          <w:szCs w:val="24"/>
        </w:rPr>
        <w:t>orofacijalne</w:t>
      </w:r>
      <w:proofErr w:type="spellEnd"/>
      <w:r w:rsidRPr="00A124C2">
        <w:rPr>
          <w:rFonts w:cs="Times New Roman"/>
          <w:sz w:val="24"/>
          <w:szCs w:val="24"/>
        </w:rPr>
        <w:t xml:space="preserve"> regije". Time su u potpunosti ostvareni ciljevi planirani do ove godine. S obzirom na napredak struke i sve veće zahtjeve pacijenata, što predstavlja i izazov u stručnom radu doktora dentalne medicine, Uprava Stomatološkog fakulteta je svjesna činjenice kako samo kontinuirano osuvremenjivanje postojećih i uvođenje novih sveučilišnih specijalističkih studija može i nadalje osigurati visoku kvalitetu poslijediplomske nastave. Time će se Stomatološkom fakultetu u Zagrebu omogućiti da i u tom segmentu rada zadrži vodeće mjesto u zemlji i regiji.</w:t>
      </w:r>
    </w:p>
    <w:p w14:paraId="5878F199" w14:textId="77777777" w:rsidR="00583D6B" w:rsidRPr="00A124C2" w:rsidRDefault="00583D6B" w:rsidP="00C1113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cs="Times New Roman"/>
          <w:sz w:val="24"/>
          <w:szCs w:val="24"/>
        </w:rPr>
      </w:pPr>
    </w:p>
    <w:p w14:paraId="32D96B0D" w14:textId="77777777" w:rsidR="00583D6B" w:rsidRPr="00A124C2" w:rsidRDefault="00583D6B" w:rsidP="00C1113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cs="Times New Roman"/>
          <w:b/>
          <w:bCs/>
          <w:sz w:val="24"/>
          <w:szCs w:val="24"/>
        </w:rPr>
      </w:pPr>
      <w:r w:rsidRPr="00A124C2">
        <w:rPr>
          <w:rFonts w:cs="Times New Roman"/>
          <w:b/>
          <w:bCs/>
          <w:sz w:val="24"/>
          <w:szCs w:val="24"/>
          <w:lang w:val="de-DE"/>
        </w:rPr>
        <w:t>POKAZATELJI U</w:t>
      </w:r>
      <w:r w:rsidRPr="00A124C2">
        <w:rPr>
          <w:rFonts w:cs="Times New Roman"/>
          <w:b/>
          <w:bCs/>
          <w:sz w:val="24"/>
          <w:szCs w:val="24"/>
        </w:rPr>
        <w:t>Č</w:t>
      </w:r>
      <w:r w:rsidRPr="00A124C2">
        <w:rPr>
          <w:rFonts w:cs="Times New Roman"/>
          <w:b/>
          <w:bCs/>
          <w:sz w:val="24"/>
          <w:szCs w:val="24"/>
          <w:lang w:val="de-DE"/>
        </w:rPr>
        <w:t>INKA</w:t>
      </w:r>
    </w:p>
    <w:p w14:paraId="59EC9DD9" w14:textId="77777777" w:rsidR="00583D6B" w:rsidRPr="00A124C2" w:rsidRDefault="00583D6B" w:rsidP="00C1113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cs="Times New Roman"/>
          <w:b/>
          <w:bCs/>
          <w:color w:val="FF0000"/>
          <w:sz w:val="24"/>
          <w:szCs w:val="24"/>
          <w:u w:color="FF0000"/>
        </w:rPr>
      </w:pPr>
    </w:p>
    <w:tbl>
      <w:tblPr>
        <w:tblW w:w="9313" w:type="dxa"/>
        <w:tblInd w:w="4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509"/>
        <w:gridCol w:w="1278"/>
        <w:gridCol w:w="918"/>
        <w:gridCol w:w="988"/>
        <w:gridCol w:w="1693"/>
        <w:gridCol w:w="977"/>
        <w:gridCol w:w="979"/>
        <w:gridCol w:w="971"/>
      </w:tblGrid>
      <w:tr w:rsidR="00583D6B" w:rsidRPr="00A124C2" w14:paraId="2D5AB8C7" w14:textId="77777777" w:rsidTr="00067055">
        <w:trPr>
          <w:trHeight w:val="800"/>
        </w:trPr>
        <w:tc>
          <w:tcPr>
            <w:tcW w:w="150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5707CA6" w14:textId="77777777" w:rsidR="00583D6B" w:rsidRPr="00A124C2" w:rsidRDefault="00583D6B" w:rsidP="00C11138">
            <w:pPr>
              <w:pStyle w:val="Default"/>
              <w:tabs>
                <w:tab w:val="left" w:pos="708"/>
                <w:tab w:val="left" w:pos="1416"/>
              </w:tabs>
              <w:spacing w:before="0" w:line="240" w:lineRule="auto"/>
              <w:jc w:val="center"/>
              <w:rPr>
                <w:rFonts w:cs="Times New Roman"/>
                <w:b/>
                <w:bCs/>
                <w:sz w:val="18"/>
                <w:szCs w:val="18"/>
              </w:rPr>
            </w:pPr>
            <w:r w:rsidRPr="00A124C2">
              <w:rPr>
                <w:rFonts w:cs="Times New Roman"/>
                <w:b/>
                <w:bCs/>
                <w:sz w:val="18"/>
                <w:szCs w:val="18"/>
              </w:rPr>
              <w:t>Pokazatelj</w:t>
            </w:r>
          </w:p>
          <w:p w14:paraId="276ADEF2" w14:textId="77777777" w:rsidR="00583D6B" w:rsidRPr="00A124C2" w:rsidRDefault="00583D6B" w:rsidP="00C11138">
            <w:pPr>
              <w:pStyle w:val="Default"/>
              <w:tabs>
                <w:tab w:val="left" w:pos="708"/>
                <w:tab w:val="left" w:pos="1416"/>
              </w:tabs>
              <w:spacing w:before="0" w:line="240" w:lineRule="auto"/>
              <w:jc w:val="center"/>
              <w:rPr>
                <w:rFonts w:cs="Times New Roman"/>
              </w:rPr>
            </w:pPr>
            <w:r w:rsidRPr="00A124C2">
              <w:rPr>
                <w:rFonts w:cs="Times New Roman"/>
                <w:b/>
                <w:bCs/>
                <w:sz w:val="18"/>
                <w:szCs w:val="18"/>
              </w:rPr>
              <w:t>rezultata</w:t>
            </w:r>
          </w:p>
        </w:tc>
        <w:tc>
          <w:tcPr>
            <w:tcW w:w="127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9F7C04E"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b/>
                <w:bCs/>
                <w:sz w:val="18"/>
                <w:szCs w:val="18"/>
              </w:rPr>
              <w:t>Definicija</w:t>
            </w:r>
          </w:p>
        </w:tc>
        <w:tc>
          <w:tcPr>
            <w:tcW w:w="9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0995ABC"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b/>
                <w:bCs/>
                <w:sz w:val="18"/>
                <w:szCs w:val="18"/>
              </w:rPr>
              <w:t>Jedinica</w:t>
            </w:r>
          </w:p>
        </w:tc>
        <w:tc>
          <w:tcPr>
            <w:tcW w:w="98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63AB570" w14:textId="19CB0DCA"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b/>
                <w:bCs/>
                <w:sz w:val="18"/>
                <w:szCs w:val="18"/>
              </w:rPr>
              <w:t>Polazna vrijednost</w:t>
            </w:r>
            <w:r w:rsidR="008A4752" w:rsidRPr="00A124C2">
              <w:rPr>
                <w:rFonts w:cs="Times New Roman"/>
                <w:b/>
                <w:bCs/>
                <w:sz w:val="18"/>
                <w:szCs w:val="18"/>
              </w:rPr>
              <w:t xml:space="preserve"> 2025.</w:t>
            </w:r>
          </w:p>
        </w:tc>
        <w:tc>
          <w:tcPr>
            <w:tcW w:w="169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54F6D0B"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b/>
                <w:bCs/>
                <w:sz w:val="18"/>
                <w:szCs w:val="18"/>
              </w:rPr>
              <w:t>Izvor podataka</w:t>
            </w:r>
          </w:p>
        </w:tc>
        <w:tc>
          <w:tcPr>
            <w:tcW w:w="9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317134A"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b/>
                <w:bCs/>
                <w:sz w:val="18"/>
                <w:szCs w:val="18"/>
              </w:rPr>
              <w:t>Ciljana vrijednost 2026.</w:t>
            </w:r>
          </w:p>
        </w:tc>
        <w:tc>
          <w:tcPr>
            <w:tcW w:w="97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74BE4FC"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b/>
                <w:bCs/>
                <w:sz w:val="18"/>
                <w:szCs w:val="18"/>
              </w:rPr>
              <w:t>Ciljana vrijednost 2027.</w:t>
            </w:r>
          </w:p>
        </w:tc>
        <w:tc>
          <w:tcPr>
            <w:tcW w:w="97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59C6EFE"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b/>
                <w:bCs/>
                <w:sz w:val="18"/>
                <w:szCs w:val="18"/>
              </w:rPr>
              <w:t>Ciljana vrijednost 2028.</w:t>
            </w:r>
          </w:p>
        </w:tc>
      </w:tr>
      <w:tr w:rsidR="00583D6B" w:rsidRPr="00A124C2" w14:paraId="6ACBA53E" w14:textId="77777777" w:rsidTr="00FF6AD4">
        <w:trPr>
          <w:trHeight w:val="2181"/>
        </w:trPr>
        <w:tc>
          <w:tcPr>
            <w:tcW w:w="150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C6F6E1B" w14:textId="77777777" w:rsidR="00583D6B" w:rsidRPr="00A124C2" w:rsidRDefault="00583D6B" w:rsidP="00C11138">
            <w:pPr>
              <w:pStyle w:val="Default"/>
              <w:tabs>
                <w:tab w:val="left" w:pos="708"/>
                <w:tab w:val="left" w:pos="1416"/>
              </w:tabs>
              <w:spacing w:before="0" w:line="240" w:lineRule="auto"/>
              <w:jc w:val="center"/>
              <w:rPr>
                <w:rFonts w:cs="Times New Roman"/>
              </w:rPr>
            </w:pPr>
            <w:r w:rsidRPr="00A124C2">
              <w:rPr>
                <w:rFonts w:cs="Times New Roman"/>
                <w:sz w:val="22"/>
                <w:szCs w:val="22"/>
              </w:rPr>
              <w:t>Broj sveučilišnih specijalističkih studija</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9DFC40C"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sz w:val="22"/>
                <w:szCs w:val="22"/>
              </w:rPr>
              <w:t xml:space="preserve">Usklađenje ponude i programa sveučilišnih </w:t>
            </w:r>
            <w:proofErr w:type="spellStart"/>
            <w:r w:rsidRPr="00A124C2">
              <w:rPr>
                <w:rFonts w:cs="Times New Roman"/>
                <w:sz w:val="22"/>
                <w:szCs w:val="22"/>
              </w:rPr>
              <w:t>spec</w:t>
            </w:r>
            <w:proofErr w:type="spellEnd"/>
            <w:r w:rsidRPr="00A124C2">
              <w:rPr>
                <w:rFonts w:cs="Times New Roman"/>
                <w:sz w:val="22"/>
                <w:szCs w:val="22"/>
              </w:rPr>
              <w:t xml:space="preserve">. studija s potrebama </w:t>
            </w:r>
            <w:proofErr w:type="spellStart"/>
            <w:r w:rsidRPr="00A124C2">
              <w:rPr>
                <w:rFonts w:cs="Times New Roman"/>
                <w:sz w:val="22"/>
                <w:szCs w:val="22"/>
              </w:rPr>
              <w:t>stom</w:t>
            </w:r>
            <w:proofErr w:type="spellEnd"/>
            <w:r w:rsidRPr="00A124C2">
              <w:rPr>
                <w:rFonts w:cs="Times New Roman"/>
                <w:sz w:val="22"/>
                <w:szCs w:val="22"/>
              </w:rPr>
              <w:t xml:space="preserve">. specijalizacija </w:t>
            </w:r>
          </w:p>
        </w:tc>
        <w:tc>
          <w:tcPr>
            <w:tcW w:w="9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870C9B8"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sz w:val="22"/>
                <w:szCs w:val="22"/>
              </w:rPr>
              <w:t>Broj SSS-a</w:t>
            </w:r>
          </w:p>
        </w:tc>
        <w:tc>
          <w:tcPr>
            <w:tcW w:w="9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9F744A6"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sz w:val="22"/>
                <w:szCs w:val="22"/>
              </w:rPr>
              <w:t>6</w:t>
            </w:r>
          </w:p>
        </w:tc>
        <w:tc>
          <w:tcPr>
            <w:tcW w:w="169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E1185F8"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sz w:val="22"/>
                <w:szCs w:val="22"/>
              </w:rPr>
              <w:t>Služba za poslijediplomsku nastavu</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14D69FE"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sz w:val="22"/>
                <w:szCs w:val="22"/>
              </w:rPr>
              <w:t>6</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1E7E227"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sz w:val="22"/>
                <w:szCs w:val="22"/>
              </w:rPr>
              <w:t>7</w:t>
            </w:r>
          </w:p>
        </w:tc>
        <w:tc>
          <w:tcPr>
            <w:tcW w:w="9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7DBEACE"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sz w:val="22"/>
                <w:szCs w:val="22"/>
              </w:rPr>
              <w:t>7</w:t>
            </w:r>
          </w:p>
        </w:tc>
      </w:tr>
    </w:tbl>
    <w:p w14:paraId="218F3582" w14:textId="77777777" w:rsidR="00583D6B" w:rsidRPr="00A124C2" w:rsidRDefault="00583D6B" w:rsidP="00C1113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309" w:hanging="309"/>
        <w:rPr>
          <w:rFonts w:cs="Times New Roman"/>
          <w:b/>
          <w:bCs/>
          <w:color w:val="FF0000"/>
          <w:sz w:val="24"/>
          <w:szCs w:val="24"/>
          <w:u w:color="FF0000"/>
        </w:rPr>
      </w:pPr>
    </w:p>
    <w:p w14:paraId="0E048AFB" w14:textId="77777777" w:rsidR="00583D6B" w:rsidRPr="00A124C2" w:rsidRDefault="00583D6B" w:rsidP="00D04E34">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rPr>
          <w:rFonts w:cs="Times New Roman"/>
          <w:b/>
          <w:bCs/>
          <w:color w:val="FF0000"/>
          <w:sz w:val="24"/>
          <w:szCs w:val="24"/>
          <w:u w:color="FF0000"/>
        </w:rPr>
      </w:pPr>
    </w:p>
    <w:p w14:paraId="54172A48" w14:textId="456AED00" w:rsidR="00583D6B" w:rsidRPr="00A124C2" w:rsidRDefault="00583D6B" w:rsidP="00C1113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cs="Times New Roman"/>
          <w:b/>
          <w:bCs/>
          <w:sz w:val="24"/>
          <w:szCs w:val="24"/>
        </w:rPr>
      </w:pPr>
      <w:r w:rsidRPr="00A124C2">
        <w:rPr>
          <w:rFonts w:cs="Times New Roman"/>
          <w:b/>
          <w:bCs/>
          <w:sz w:val="24"/>
          <w:szCs w:val="24"/>
        </w:rPr>
        <w:t xml:space="preserve">CILJ </w:t>
      </w:r>
      <w:r w:rsidR="00CC0F86" w:rsidRPr="00A124C2">
        <w:rPr>
          <w:rFonts w:cs="Times New Roman"/>
          <w:b/>
          <w:bCs/>
          <w:sz w:val="24"/>
          <w:szCs w:val="24"/>
        </w:rPr>
        <w:t>5</w:t>
      </w:r>
      <w:r w:rsidRPr="00A124C2">
        <w:rPr>
          <w:rFonts w:cs="Times New Roman"/>
          <w:b/>
          <w:bCs/>
          <w:sz w:val="24"/>
          <w:szCs w:val="24"/>
        </w:rPr>
        <w:t>. PODIZANJE INDEKSA USPJEŠNOSTI PROGRAMA TEČ</w:t>
      </w:r>
      <w:r w:rsidRPr="00A124C2">
        <w:rPr>
          <w:rFonts w:cs="Times New Roman"/>
          <w:b/>
          <w:bCs/>
          <w:sz w:val="24"/>
          <w:szCs w:val="24"/>
          <w:lang w:val="en-US"/>
        </w:rPr>
        <w:t>AJEVA CJELO</w:t>
      </w:r>
      <w:r w:rsidRPr="00A124C2">
        <w:rPr>
          <w:rFonts w:cs="Times New Roman"/>
          <w:b/>
          <w:bCs/>
          <w:sz w:val="24"/>
          <w:szCs w:val="24"/>
        </w:rPr>
        <w:t xml:space="preserve">ŽIVOTNOG OBRAZOVANJA U ORGANIZACIJI STOMATOLOŠKOG FAKULTETA </w:t>
      </w:r>
    </w:p>
    <w:p w14:paraId="17BDE7DF" w14:textId="77777777" w:rsidR="00583D6B" w:rsidRPr="00A124C2" w:rsidRDefault="00583D6B" w:rsidP="00C1113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cs="Times New Roman"/>
          <w:b/>
          <w:bCs/>
          <w:sz w:val="24"/>
          <w:szCs w:val="24"/>
        </w:rPr>
      </w:pPr>
      <w:r w:rsidRPr="00A124C2">
        <w:rPr>
          <w:rFonts w:cs="Times New Roman"/>
          <w:b/>
          <w:bCs/>
          <w:sz w:val="24"/>
          <w:szCs w:val="24"/>
          <w:lang w:val="de-DE"/>
        </w:rPr>
        <w:t>OBRAZLO</w:t>
      </w:r>
      <w:r w:rsidRPr="00A124C2">
        <w:rPr>
          <w:rFonts w:cs="Times New Roman"/>
          <w:b/>
          <w:bCs/>
          <w:sz w:val="24"/>
          <w:szCs w:val="24"/>
        </w:rPr>
        <w:t>ŽENJE CILJA</w:t>
      </w:r>
    </w:p>
    <w:p w14:paraId="6B751613" w14:textId="77777777" w:rsidR="00583D6B" w:rsidRPr="00A124C2" w:rsidRDefault="00583D6B" w:rsidP="00C1113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cs="Times New Roman"/>
          <w:b/>
          <w:bCs/>
          <w:sz w:val="24"/>
          <w:szCs w:val="24"/>
        </w:rPr>
      </w:pPr>
    </w:p>
    <w:p w14:paraId="05DCBC5C" w14:textId="77777777" w:rsidR="00583D6B" w:rsidRPr="00A124C2" w:rsidRDefault="00583D6B" w:rsidP="00C1113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cs="Times New Roman"/>
          <w:sz w:val="24"/>
          <w:szCs w:val="24"/>
        </w:rPr>
      </w:pPr>
      <w:r w:rsidRPr="00A124C2">
        <w:rPr>
          <w:rFonts w:cs="Times New Roman"/>
          <w:sz w:val="24"/>
          <w:szCs w:val="24"/>
        </w:rPr>
        <w:t xml:space="preserve">Stomatološki fakultet Sveučilišta u Zagrebu provodi analizu uspješnosti programa cjeloživotnog obrazovanja u svrhu očuvanja i podizanja kvalitete, te boljeg planiranja programa cjeloživotnog obrazovanja. Za analizu uspješnosti se koriste objektivni, mjerljivi i usporedivi pokazatelji (čije se vrijednosti dobivaju od strane nadležnih fakultetskih službi) pretočeni u bodove, u skladu s Pravilnikom o trajnoj izobrazbi Stomatološkog fakulteta Sveučilišta u Zagrebu, a sve s ciljem </w:t>
      </w:r>
      <w:r w:rsidRPr="00A124C2">
        <w:rPr>
          <w:rFonts w:cs="Times New Roman"/>
          <w:sz w:val="24"/>
          <w:szCs w:val="24"/>
        </w:rPr>
        <w:lastRenderedPageBreak/>
        <w:t xml:space="preserve">ostvarenja što boljih obrazovnih, strukovnih i poslovnih rezultata. Trenutno je u izradi novi Pravilnik o cjeloživotnom obrazovanju, s novom analizom uspješnosti. Zbog toga nismo u mogućnosti napraviti projekcije ciljane vrijednosti za naredne tri godine, no procjenjuje se porast indeksa uspješnosti za 2026., 2027. i 2028. godinu u odnosu na </w:t>
      </w:r>
      <w:r w:rsidRPr="00A124C2">
        <w:rPr>
          <w:rFonts w:cs="Times New Roman"/>
          <w:sz w:val="24"/>
          <w:szCs w:val="24"/>
          <w:lang w:val="en-US"/>
        </w:rPr>
        <w:t>2025.</w:t>
      </w:r>
      <w:r w:rsidRPr="00A124C2">
        <w:rPr>
          <w:rFonts w:cs="Times New Roman"/>
          <w:sz w:val="24"/>
          <w:szCs w:val="24"/>
        </w:rPr>
        <w:t xml:space="preserve"> godinu.</w:t>
      </w:r>
    </w:p>
    <w:p w14:paraId="4DEC8286" w14:textId="77777777" w:rsidR="00583D6B" w:rsidRPr="00A124C2" w:rsidRDefault="00583D6B" w:rsidP="00C1113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cs="Times New Roman"/>
          <w:sz w:val="24"/>
          <w:szCs w:val="24"/>
        </w:rPr>
      </w:pPr>
    </w:p>
    <w:p w14:paraId="055820CE" w14:textId="77777777" w:rsidR="00583D6B" w:rsidRPr="00A124C2" w:rsidRDefault="00583D6B" w:rsidP="00C1113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eastAsia="Times New Roman" w:cs="Times New Roman"/>
          <w:b/>
          <w:bCs/>
          <w:sz w:val="24"/>
          <w:szCs w:val="24"/>
        </w:rPr>
      </w:pPr>
      <w:r w:rsidRPr="00A124C2">
        <w:rPr>
          <w:rFonts w:cs="Times New Roman"/>
          <w:b/>
          <w:bCs/>
          <w:sz w:val="24"/>
          <w:szCs w:val="24"/>
          <w:lang w:val="de-DE"/>
        </w:rPr>
        <w:t>POKAZATELJI U</w:t>
      </w:r>
      <w:r w:rsidRPr="00A124C2">
        <w:rPr>
          <w:rFonts w:cs="Times New Roman"/>
          <w:b/>
          <w:bCs/>
          <w:sz w:val="24"/>
          <w:szCs w:val="24"/>
        </w:rPr>
        <w:t>Č</w:t>
      </w:r>
      <w:r w:rsidRPr="00A124C2">
        <w:rPr>
          <w:rFonts w:cs="Times New Roman"/>
          <w:b/>
          <w:bCs/>
          <w:sz w:val="24"/>
          <w:szCs w:val="24"/>
          <w:lang w:val="de-DE"/>
        </w:rPr>
        <w:t xml:space="preserve">INKA </w:t>
      </w:r>
    </w:p>
    <w:p w14:paraId="20EF3550" w14:textId="77777777" w:rsidR="00583D6B" w:rsidRPr="00A124C2" w:rsidRDefault="00583D6B" w:rsidP="00C1113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cs="Times New Roman"/>
          <w:b/>
          <w:bCs/>
          <w:color w:val="FF0000"/>
          <w:sz w:val="24"/>
          <w:szCs w:val="24"/>
          <w:u w:color="FF0000"/>
        </w:rPr>
      </w:pPr>
    </w:p>
    <w:tbl>
      <w:tblPr>
        <w:tblW w:w="96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274"/>
        <w:gridCol w:w="1276"/>
        <w:gridCol w:w="992"/>
        <w:gridCol w:w="1134"/>
        <w:gridCol w:w="1134"/>
        <w:gridCol w:w="1276"/>
        <w:gridCol w:w="1276"/>
        <w:gridCol w:w="1272"/>
      </w:tblGrid>
      <w:tr w:rsidR="00583D6B" w:rsidRPr="00A124C2" w14:paraId="1B06C60C" w14:textId="77777777" w:rsidTr="00FF6AD4">
        <w:trPr>
          <w:trHeight w:val="612"/>
          <w:jc w:val="center"/>
        </w:trPr>
        <w:tc>
          <w:tcPr>
            <w:tcW w:w="127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14:paraId="13DCF390" w14:textId="77777777" w:rsidR="00583D6B" w:rsidRPr="00A124C2" w:rsidRDefault="00583D6B" w:rsidP="00C11138">
            <w:pPr>
              <w:pStyle w:val="Default"/>
              <w:tabs>
                <w:tab w:val="left" w:pos="708"/>
              </w:tabs>
              <w:spacing w:before="0" w:line="240" w:lineRule="auto"/>
              <w:jc w:val="center"/>
              <w:rPr>
                <w:rFonts w:cs="Times New Roman"/>
                <w:b/>
                <w:bCs/>
                <w:sz w:val="18"/>
                <w:szCs w:val="18"/>
              </w:rPr>
            </w:pPr>
            <w:r w:rsidRPr="00A124C2">
              <w:rPr>
                <w:rFonts w:cs="Times New Roman"/>
                <w:b/>
                <w:bCs/>
                <w:sz w:val="18"/>
                <w:szCs w:val="18"/>
              </w:rPr>
              <w:t>Pokazatelj</w:t>
            </w:r>
          </w:p>
          <w:p w14:paraId="1E78A951"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b/>
                <w:bCs/>
                <w:sz w:val="18"/>
                <w:szCs w:val="18"/>
              </w:rPr>
              <w:t>rezultata</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6043F47"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b/>
                <w:bCs/>
                <w:sz w:val="18"/>
                <w:szCs w:val="18"/>
              </w:rPr>
              <w:t>Definicija</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BFC38C5"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b/>
                <w:bCs/>
                <w:sz w:val="18"/>
                <w:szCs w:val="18"/>
              </w:rPr>
              <w:t>Jedinica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61ABD53" w14:textId="737891B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b/>
                <w:bCs/>
                <w:sz w:val="18"/>
                <w:szCs w:val="18"/>
              </w:rPr>
              <w:t>Polazna vrijednost</w:t>
            </w:r>
            <w:r w:rsidR="008A4752" w:rsidRPr="00A124C2">
              <w:rPr>
                <w:rFonts w:cs="Times New Roman"/>
                <w:b/>
                <w:bCs/>
                <w:sz w:val="18"/>
                <w:szCs w:val="18"/>
              </w:rPr>
              <w:t xml:space="preserve"> 2025.</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ADDF83C"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b/>
                <w:bCs/>
                <w:sz w:val="18"/>
                <w:szCs w:val="18"/>
              </w:rPr>
              <w:t>Izvor podataka</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08902E5"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b/>
                <w:bCs/>
                <w:sz w:val="18"/>
                <w:szCs w:val="18"/>
              </w:rPr>
              <w:t>Ciljana vrijednost 2026.</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340D0A6"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b/>
                <w:bCs/>
                <w:sz w:val="18"/>
                <w:szCs w:val="18"/>
              </w:rPr>
              <w:t>Ciljana vrijednost 2027.</w:t>
            </w:r>
          </w:p>
        </w:tc>
        <w:tc>
          <w:tcPr>
            <w:tcW w:w="127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89158C2"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b/>
                <w:bCs/>
                <w:sz w:val="18"/>
                <w:szCs w:val="18"/>
              </w:rPr>
              <w:t>Ciljana vrijednost 2028.</w:t>
            </w:r>
          </w:p>
        </w:tc>
      </w:tr>
      <w:tr w:rsidR="00583D6B" w:rsidRPr="00A124C2" w14:paraId="54E792C3" w14:textId="77777777" w:rsidTr="00FF6AD4">
        <w:trPr>
          <w:trHeight w:val="1451"/>
          <w:jc w:val="center"/>
        </w:trPr>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E87D58" w14:textId="77777777" w:rsidR="00583D6B" w:rsidRPr="00A124C2" w:rsidRDefault="00583D6B" w:rsidP="00C11138">
            <w:pPr>
              <w:pStyle w:val="Default"/>
              <w:tabs>
                <w:tab w:val="left" w:pos="708"/>
              </w:tabs>
              <w:spacing w:before="0" w:line="240" w:lineRule="auto"/>
              <w:jc w:val="center"/>
              <w:rPr>
                <w:rFonts w:cs="Times New Roman"/>
                <w:sz w:val="22"/>
                <w:szCs w:val="22"/>
              </w:rPr>
            </w:pPr>
            <w:r w:rsidRPr="00A124C2">
              <w:rPr>
                <w:rFonts w:cs="Times New Roman"/>
                <w:sz w:val="22"/>
                <w:szCs w:val="22"/>
              </w:rPr>
              <w:t>Indeks</w:t>
            </w:r>
          </w:p>
          <w:p w14:paraId="0B1D81A6" w14:textId="77777777" w:rsidR="00583D6B" w:rsidRPr="00A124C2" w:rsidRDefault="00583D6B" w:rsidP="00C11138">
            <w:pPr>
              <w:pStyle w:val="Default"/>
              <w:tabs>
                <w:tab w:val="left" w:pos="708"/>
              </w:tabs>
              <w:spacing w:before="0" w:line="240" w:lineRule="auto"/>
              <w:jc w:val="center"/>
              <w:rPr>
                <w:rFonts w:cs="Times New Roman"/>
                <w:sz w:val="22"/>
                <w:szCs w:val="22"/>
              </w:rPr>
            </w:pPr>
            <w:r w:rsidRPr="00A124C2">
              <w:rPr>
                <w:rFonts w:cs="Times New Roman"/>
                <w:sz w:val="22"/>
                <w:szCs w:val="22"/>
              </w:rPr>
              <w:t>uspješnosti programa</w:t>
            </w:r>
          </w:p>
          <w:p w14:paraId="06036758"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sz w:val="22"/>
                <w:szCs w:val="22"/>
              </w:rPr>
              <w:t>CŽO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A04A9F" w14:textId="77777777" w:rsidR="00583D6B" w:rsidRPr="00A124C2" w:rsidRDefault="00583D6B" w:rsidP="00C11138">
            <w:pPr>
              <w:pStyle w:val="Default"/>
              <w:tabs>
                <w:tab w:val="left" w:pos="708"/>
              </w:tabs>
              <w:spacing w:before="0" w:line="240" w:lineRule="auto"/>
              <w:jc w:val="center"/>
              <w:rPr>
                <w:rFonts w:cs="Times New Roman"/>
                <w:sz w:val="22"/>
                <w:szCs w:val="22"/>
              </w:rPr>
            </w:pPr>
            <w:r w:rsidRPr="00A124C2">
              <w:rPr>
                <w:rFonts w:cs="Times New Roman"/>
                <w:sz w:val="22"/>
                <w:szCs w:val="22"/>
              </w:rPr>
              <w:t>Podizanje indeksa</w:t>
            </w:r>
          </w:p>
          <w:p w14:paraId="5F5BA3AE" w14:textId="77777777" w:rsidR="00583D6B" w:rsidRPr="00A124C2" w:rsidRDefault="00583D6B" w:rsidP="00C11138">
            <w:pPr>
              <w:pStyle w:val="Default"/>
              <w:tabs>
                <w:tab w:val="left" w:pos="708"/>
              </w:tabs>
              <w:spacing w:before="0" w:line="240" w:lineRule="auto"/>
              <w:jc w:val="center"/>
              <w:rPr>
                <w:rFonts w:cs="Times New Roman"/>
                <w:sz w:val="22"/>
                <w:szCs w:val="22"/>
              </w:rPr>
            </w:pPr>
            <w:r w:rsidRPr="00A124C2">
              <w:rPr>
                <w:rFonts w:cs="Times New Roman"/>
                <w:sz w:val="22"/>
                <w:szCs w:val="22"/>
              </w:rPr>
              <w:t>uspješnosti programa</w:t>
            </w:r>
          </w:p>
          <w:p w14:paraId="59A335F5"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sz w:val="22"/>
                <w:szCs w:val="22"/>
              </w:rPr>
              <w:t>CŽO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59D97C"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sz w:val="22"/>
                <w:szCs w:val="22"/>
              </w:rPr>
              <w:t>bod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F94FF3" w14:textId="77777777" w:rsidR="00583D6B" w:rsidRPr="00A124C2" w:rsidRDefault="00583D6B" w:rsidP="00C11138">
            <w:pPr>
              <w:pStyle w:val="Default"/>
              <w:tabs>
                <w:tab w:val="left" w:pos="708"/>
              </w:tabs>
              <w:spacing w:before="0" w:line="240" w:lineRule="auto"/>
              <w:jc w:val="center"/>
              <w:rPr>
                <w:rFonts w:cs="Times New Roman"/>
                <w:sz w:val="22"/>
                <w:szCs w:val="22"/>
              </w:rPr>
            </w:pPr>
            <w:r w:rsidRPr="00A124C2">
              <w:rPr>
                <w:rFonts w:cs="Times New Roman"/>
                <w:sz w:val="22"/>
                <w:szCs w:val="22"/>
              </w:rPr>
              <w:t>90</w:t>
            </w:r>
          </w:p>
          <w:p w14:paraId="717CF850"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sz w:val="22"/>
                <w:szCs w:val="22"/>
              </w:rPr>
              <w:t>bodova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4F0980"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sz w:val="22"/>
                <w:szCs w:val="22"/>
              </w:rPr>
              <w:t>Služba za CŽO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2C57D5"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sz w:val="22"/>
                <w:szCs w:val="22"/>
              </w:rPr>
              <w:t>Novi indeks uspješnosti u izradi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32422B"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sz w:val="22"/>
                <w:szCs w:val="22"/>
              </w:rPr>
              <w:t>Novi indeks uspješnosti u izradi</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2169E1" w14:textId="77777777" w:rsidR="00583D6B" w:rsidRPr="00A124C2" w:rsidRDefault="00583D6B" w:rsidP="00C11138">
            <w:pPr>
              <w:pStyle w:val="Default"/>
              <w:tabs>
                <w:tab w:val="left" w:pos="708"/>
              </w:tabs>
              <w:spacing w:before="0" w:line="240" w:lineRule="auto"/>
              <w:jc w:val="center"/>
              <w:rPr>
                <w:rFonts w:cs="Times New Roman"/>
              </w:rPr>
            </w:pPr>
            <w:r w:rsidRPr="00A124C2">
              <w:rPr>
                <w:rFonts w:cs="Times New Roman"/>
                <w:sz w:val="22"/>
                <w:szCs w:val="22"/>
              </w:rPr>
              <w:t>Novi indeks uspješnosti u izradi</w:t>
            </w:r>
          </w:p>
        </w:tc>
      </w:tr>
    </w:tbl>
    <w:p w14:paraId="52F61B41" w14:textId="77777777" w:rsidR="00583D6B" w:rsidRPr="00A124C2" w:rsidRDefault="00583D6B" w:rsidP="00C11138">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108" w:hanging="108"/>
        <w:jc w:val="center"/>
        <w:rPr>
          <w:rFonts w:cs="Times New Roman"/>
          <w:b/>
          <w:bCs/>
          <w:color w:val="FF0000"/>
          <w:sz w:val="24"/>
          <w:szCs w:val="24"/>
          <w:u w:color="FF0000"/>
        </w:rPr>
      </w:pPr>
    </w:p>
    <w:p w14:paraId="48D5AB91" w14:textId="77777777" w:rsidR="00583D6B" w:rsidRPr="00A124C2" w:rsidRDefault="00583D6B" w:rsidP="00C11138">
      <w:pPr>
        <w:jc w:val="both"/>
        <w:rPr>
          <w:b/>
          <w:bCs/>
          <w:color w:val="FF0000"/>
        </w:rPr>
      </w:pPr>
    </w:p>
    <w:p w14:paraId="4D6F3C7F" w14:textId="484A98A5" w:rsidR="00272EE4" w:rsidRPr="00A124C2" w:rsidRDefault="00272EE4" w:rsidP="00C11138">
      <w:pPr>
        <w:jc w:val="both"/>
        <w:rPr>
          <w:b/>
        </w:rPr>
      </w:pPr>
      <w:r w:rsidRPr="00A124C2">
        <w:rPr>
          <w:b/>
          <w:bCs/>
        </w:rPr>
        <w:t xml:space="preserve">CILJ </w:t>
      </w:r>
      <w:r w:rsidR="00CC0F86" w:rsidRPr="00A124C2">
        <w:rPr>
          <w:b/>
          <w:bCs/>
        </w:rPr>
        <w:t>6</w:t>
      </w:r>
      <w:r w:rsidRPr="00A124C2">
        <w:rPr>
          <w:b/>
          <w:bCs/>
        </w:rPr>
        <w:t>.</w:t>
      </w:r>
      <w:r w:rsidRPr="00A124C2">
        <w:t xml:space="preserve"> </w:t>
      </w:r>
      <w:r w:rsidRPr="00A124C2">
        <w:rPr>
          <w:b/>
        </w:rPr>
        <w:t>POVEĆANJE BROJA GOSTUJUĆIH PROFESORA I INOZEMNIH NASTAVNIKA KOJI DOLAZE ODRŽATI PREDAVANJE STUDENTIMA</w:t>
      </w:r>
    </w:p>
    <w:p w14:paraId="3F70B6E4" w14:textId="77777777" w:rsidR="00272EE4" w:rsidRPr="00A124C2" w:rsidRDefault="00272EE4" w:rsidP="00C11138">
      <w:pPr>
        <w:jc w:val="both"/>
        <w:rPr>
          <w:b/>
          <w:bCs/>
        </w:rPr>
      </w:pPr>
      <w:r w:rsidRPr="00A124C2">
        <w:rPr>
          <w:b/>
          <w:bCs/>
        </w:rPr>
        <w:t>OBRAZLOŽENJE CILJA</w:t>
      </w:r>
    </w:p>
    <w:p w14:paraId="6225321A" w14:textId="77777777" w:rsidR="00272EE4" w:rsidRPr="00A124C2" w:rsidRDefault="00272EE4" w:rsidP="00C11138">
      <w:pPr>
        <w:jc w:val="both"/>
      </w:pPr>
    </w:p>
    <w:p w14:paraId="47FFF127" w14:textId="77777777" w:rsidR="00272EE4" w:rsidRPr="00A124C2" w:rsidRDefault="00272EE4" w:rsidP="00C11138">
      <w:pPr>
        <w:jc w:val="both"/>
      </w:pPr>
      <w:r w:rsidRPr="00A124C2">
        <w:t xml:space="preserve">Plan Stomatološkog fakulteta je da svaki Zavod, kao ustrojstvena jedinica, ima </w:t>
      </w:r>
      <w:r w:rsidR="008C4D8A" w:rsidRPr="00A124C2">
        <w:t xml:space="preserve">barem jednog </w:t>
      </w:r>
      <w:r w:rsidRPr="00A124C2">
        <w:t>gostujućeg profesora iz eminentne svjetske, sveučilišne</w:t>
      </w:r>
      <w:r w:rsidR="009729FA" w:rsidRPr="00A124C2">
        <w:t xml:space="preserve"> ili zdravstvene, ustanove. Time se i naš Fakultet</w:t>
      </w:r>
      <w:r w:rsidRPr="00A124C2">
        <w:t xml:space="preserve"> bolje pozicionira na globalnoj razini s obzirom da institucija gostujućeg profesora omogućuje i djelatnicima naše ustanove bolje povezivanje s ostalim djelatnicima iz matične ustanove gosta profesora. Cjelovito gledajući to doprinosi suradnji dviju ustanova, a ujedno se ostvaruje mogućnost lakše i kvalite</w:t>
      </w:r>
      <w:r w:rsidR="009729FA" w:rsidRPr="00A124C2">
        <w:t xml:space="preserve">tnije suradnje naših nastavnika (potencijalno </w:t>
      </w:r>
      <w:r w:rsidRPr="00A124C2">
        <w:t>i studenata) u znanstvenom i stručnom radu. Gosta profesora imenuje Zavod, a bira se na vremensko razdoblje od 2 godine s mogućnošću produljenja za još jedan mandat. Iz razloga što je stav Stomatološkog fakulteta da gostujući profesori budu eminentna svjetska imena u svom području rada, koja najčešće nemaju dovoljno slobodnog vremena, trenutni broj gostujućih profesora nije zado</w:t>
      </w:r>
      <w:r w:rsidR="009729FA" w:rsidRPr="00A124C2">
        <w:t>voljavajući. I</w:t>
      </w:r>
      <w:r w:rsidRPr="00A124C2">
        <w:t xml:space="preserve">nicijativa na razini pojedinih </w:t>
      </w:r>
      <w:r w:rsidR="009729FA" w:rsidRPr="00A124C2">
        <w:t xml:space="preserve">fakultetskih </w:t>
      </w:r>
      <w:r w:rsidRPr="00A124C2">
        <w:t>Zav</w:t>
      </w:r>
      <w:r w:rsidR="009729FA" w:rsidRPr="00A124C2">
        <w:t>oda, i njihovih predstojnika, doprinijela je ostvarivanju</w:t>
      </w:r>
      <w:r w:rsidRPr="00A124C2">
        <w:t xml:space="preserve"> kontakata s vrhunskim stručnjacima iz djelokruga rada njihovih zavoda</w:t>
      </w:r>
      <w:r w:rsidR="002C3BBC" w:rsidRPr="00A124C2">
        <w:t>, te su dobivene privole, odnosno iskazana je</w:t>
      </w:r>
      <w:r w:rsidRPr="00A124C2">
        <w:t xml:space="preserve"> njihova spremnost za održavanjem predavanja/vježbi na našem Fakultetu. </w:t>
      </w:r>
      <w:r w:rsidR="002C3BBC" w:rsidRPr="00A124C2">
        <w:t xml:space="preserve">To je rezultiralo imenovanjem novih gostujućih profesora prema utvrđenoj proceduri: </w:t>
      </w:r>
      <w:r w:rsidRPr="00A124C2">
        <w:t>Zavod predlaže Upra</w:t>
      </w:r>
      <w:r w:rsidR="002C3BBC" w:rsidRPr="00A124C2">
        <w:t>vi Fakulteta imenovanje zainteresiranog stručnjaka - gostujućim profesorom, a p</w:t>
      </w:r>
      <w:r w:rsidRPr="00A124C2">
        <w:t xml:space="preserve">otvrdu o njegovom imenovanju donosi Fakultetsko vijeće. </w:t>
      </w:r>
      <w:r w:rsidR="002C3BBC" w:rsidRPr="00A124C2">
        <w:t>Tako da</w:t>
      </w:r>
      <w:r w:rsidR="00AC0B28" w:rsidRPr="00A124C2">
        <w:t xml:space="preserve"> trenutno</w:t>
      </w:r>
      <w:r w:rsidRPr="00A124C2">
        <w:t xml:space="preserve"> na Stomatološkom fakultetu </w:t>
      </w:r>
      <w:r w:rsidR="002C3BBC" w:rsidRPr="00A124C2">
        <w:t xml:space="preserve">imamo </w:t>
      </w:r>
      <w:r w:rsidR="00AC0B28" w:rsidRPr="00A124C2">
        <w:t>4</w:t>
      </w:r>
      <w:r w:rsidRPr="00A124C2">
        <w:t xml:space="preserve"> gostujuć</w:t>
      </w:r>
      <w:r w:rsidR="00AC0B28" w:rsidRPr="00A124C2">
        <w:t>a</w:t>
      </w:r>
      <w:r w:rsidRPr="00A124C2">
        <w:t xml:space="preserve"> profesora</w:t>
      </w:r>
      <w:r w:rsidR="002C3BBC" w:rsidRPr="00A124C2">
        <w:t>.</w:t>
      </w:r>
    </w:p>
    <w:p w14:paraId="3F2811C4" w14:textId="77777777" w:rsidR="008F75FC" w:rsidRPr="00A124C2" w:rsidRDefault="008F75FC" w:rsidP="00C11138">
      <w:pPr>
        <w:jc w:val="both"/>
        <w:rPr>
          <w:b/>
          <w:bCs/>
        </w:rPr>
      </w:pPr>
    </w:p>
    <w:p w14:paraId="7F3E68E3" w14:textId="77777777" w:rsidR="008F75FC" w:rsidRPr="00A124C2" w:rsidRDefault="008F75FC" w:rsidP="00C11138">
      <w:pPr>
        <w:jc w:val="both"/>
        <w:rPr>
          <w:b/>
          <w:bCs/>
        </w:rPr>
      </w:pPr>
    </w:p>
    <w:p w14:paraId="184AC0C2" w14:textId="77777777" w:rsidR="00272EE4" w:rsidRPr="00A124C2" w:rsidRDefault="00272EE4" w:rsidP="00C11138">
      <w:pPr>
        <w:jc w:val="both"/>
        <w:rPr>
          <w:b/>
          <w:bCs/>
        </w:rPr>
      </w:pPr>
      <w:r w:rsidRPr="00A124C2">
        <w:rPr>
          <w:b/>
          <w:bCs/>
        </w:rPr>
        <w:t>POKAZATELJI UČINKA</w:t>
      </w:r>
    </w:p>
    <w:p w14:paraId="06D1825C" w14:textId="77777777" w:rsidR="00272EE4" w:rsidRPr="00A124C2" w:rsidRDefault="00272EE4" w:rsidP="00C11138">
      <w:pPr>
        <w:jc w:val="both"/>
        <w:rPr>
          <w:b/>
          <w:bCs/>
          <w:color w:val="FF0000"/>
        </w:rPr>
      </w:pPr>
    </w:p>
    <w:tbl>
      <w:tblPr>
        <w:tblW w:w="5003" w:type="pct"/>
        <w:jc w:val="center"/>
        <w:tblLayout w:type="fixed"/>
        <w:tblLook w:val="00A0" w:firstRow="1" w:lastRow="0" w:firstColumn="1" w:lastColumn="0" w:noHBand="0" w:noVBand="0"/>
      </w:tblPr>
      <w:tblGrid>
        <w:gridCol w:w="1438"/>
        <w:gridCol w:w="1251"/>
        <w:gridCol w:w="1161"/>
        <w:gridCol w:w="1108"/>
        <w:gridCol w:w="1385"/>
        <w:gridCol w:w="1027"/>
        <w:gridCol w:w="1133"/>
        <w:gridCol w:w="1131"/>
      </w:tblGrid>
      <w:tr w:rsidR="00206ABA" w:rsidRPr="00A124C2" w14:paraId="2B81AFE4" w14:textId="77777777" w:rsidTr="0077473F">
        <w:trPr>
          <w:trHeight w:val="675"/>
          <w:jc w:val="center"/>
        </w:trPr>
        <w:tc>
          <w:tcPr>
            <w:tcW w:w="746"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E82B986" w14:textId="77777777" w:rsidR="00206ABA" w:rsidRPr="00A124C2" w:rsidRDefault="00206ABA" w:rsidP="00C11138">
            <w:pPr>
              <w:jc w:val="center"/>
              <w:rPr>
                <w:b/>
                <w:bCs/>
                <w:sz w:val="18"/>
                <w:szCs w:val="18"/>
              </w:rPr>
            </w:pPr>
            <w:r w:rsidRPr="00A124C2">
              <w:rPr>
                <w:b/>
                <w:bCs/>
                <w:sz w:val="18"/>
                <w:szCs w:val="18"/>
              </w:rPr>
              <w:t>Pokazatelj rezultata</w:t>
            </w:r>
          </w:p>
        </w:tc>
        <w:tc>
          <w:tcPr>
            <w:tcW w:w="649" w:type="pct"/>
            <w:tcBorders>
              <w:top w:val="single" w:sz="4" w:space="0" w:color="auto"/>
              <w:left w:val="nil"/>
              <w:bottom w:val="single" w:sz="4" w:space="0" w:color="auto"/>
              <w:right w:val="single" w:sz="4" w:space="0" w:color="auto"/>
            </w:tcBorders>
            <w:shd w:val="clear" w:color="auto" w:fill="D9D9D9"/>
            <w:vAlign w:val="center"/>
          </w:tcPr>
          <w:p w14:paraId="681402B3" w14:textId="77777777" w:rsidR="00206ABA" w:rsidRPr="00A124C2" w:rsidRDefault="00206ABA" w:rsidP="00C11138">
            <w:pPr>
              <w:jc w:val="center"/>
              <w:rPr>
                <w:b/>
                <w:bCs/>
                <w:sz w:val="18"/>
                <w:szCs w:val="18"/>
              </w:rPr>
            </w:pPr>
            <w:r w:rsidRPr="00A124C2">
              <w:rPr>
                <w:b/>
                <w:bCs/>
                <w:sz w:val="18"/>
                <w:szCs w:val="18"/>
              </w:rPr>
              <w:t>Definicija</w:t>
            </w:r>
          </w:p>
        </w:tc>
        <w:tc>
          <w:tcPr>
            <w:tcW w:w="602" w:type="pct"/>
            <w:tcBorders>
              <w:top w:val="single" w:sz="4" w:space="0" w:color="auto"/>
              <w:left w:val="nil"/>
              <w:bottom w:val="single" w:sz="4" w:space="0" w:color="auto"/>
              <w:right w:val="single" w:sz="4" w:space="0" w:color="auto"/>
            </w:tcBorders>
            <w:shd w:val="clear" w:color="auto" w:fill="D9D9D9"/>
            <w:vAlign w:val="center"/>
          </w:tcPr>
          <w:p w14:paraId="62B86FA2" w14:textId="77777777" w:rsidR="00206ABA" w:rsidRPr="00A124C2" w:rsidRDefault="00206ABA" w:rsidP="00C11138">
            <w:pPr>
              <w:jc w:val="center"/>
              <w:rPr>
                <w:b/>
                <w:bCs/>
                <w:sz w:val="18"/>
                <w:szCs w:val="18"/>
              </w:rPr>
            </w:pPr>
            <w:r w:rsidRPr="00A124C2">
              <w:rPr>
                <w:b/>
                <w:bCs/>
                <w:sz w:val="18"/>
                <w:szCs w:val="18"/>
              </w:rPr>
              <w:t>Jedinica</w:t>
            </w:r>
          </w:p>
        </w:tc>
        <w:tc>
          <w:tcPr>
            <w:tcW w:w="575" w:type="pct"/>
            <w:tcBorders>
              <w:top w:val="single" w:sz="4" w:space="0" w:color="auto"/>
              <w:left w:val="nil"/>
              <w:bottom w:val="single" w:sz="4" w:space="0" w:color="auto"/>
              <w:right w:val="single" w:sz="4" w:space="0" w:color="auto"/>
            </w:tcBorders>
            <w:shd w:val="clear" w:color="auto" w:fill="D9D9D9"/>
            <w:vAlign w:val="center"/>
          </w:tcPr>
          <w:p w14:paraId="589F7530" w14:textId="5943F5D9" w:rsidR="00206ABA" w:rsidRPr="00A124C2" w:rsidRDefault="00206ABA" w:rsidP="00C11138">
            <w:pPr>
              <w:jc w:val="center"/>
              <w:rPr>
                <w:b/>
                <w:bCs/>
                <w:sz w:val="18"/>
                <w:szCs w:val="18"/>
              </w:rPr>
            </w:pPr>
            <w:r w:rsidRPr="00A124C2">
              <w:rPr>
                <w:b/>
                <w:bCs/>
                <w:sz w:val="18"/>
                <w:szCs w:val="18"/>
              </w:rPr>
              <w:t>Polazna vrijednost</w:t>
            </w:r>
            <w:r w:rsidR="008A4752" w:rsidRPr="00A124C2">
              <w:rPr>
                <w:b/>
                <w:bCs/>
                <w:sz w:val="18"/>
                <w:szCs w:val="18"/>
              </w:rPr>
              <w:t xml:space="preserve"> 2025.</w:t>
            </w:r>
          </w:p>
        </w:tc>
        <w:tc>
          <w:tcPr>
            <w:tcW w:w="719" w:type="pct"/>
            <w:tcBorders>
              <w:top w:val="single" w:sz="4" w:space="0" w:color="auto"/>
              <w:left w:val="nil"/>
              <w:bottom w:val="single" w:sz="4" w:space="0" w:color="auto"/>
              <w:right w:val="single" w:sz="4" w:space="0" w:color="auto"/>
            </w:tcBorders>
            <w:shd w:val="clear" w:color="auto" w:fill="D9D9D9"/>
            <w:vAlign w:val="center"/>
          </w:tcPr>
          <w:p w14:paraId="785F9C62" w14:textId="77777777" w:rsidR="00206ABA" w:rsidRPr="00A124C2" w:rsidRDefault="00206ABA" w:rsidP="00C11138">
            <w:pPr>
              <w:jc w:val="center"/>
              <w:rPr>
                <w:b/>
                <w:bCs/>
                <w:sz w:val="18"/>
                <w:szCs w:val="18"/>
              </w:rPr>
            </w:pPr>
            <w:r w:rsidRPr="00A124C2">
              <w:rPr>
                <w:b/>
                <w:bCs/>
                <w:sz w:val="18"/>
                <w:szCs w:val="18"/>
              </w:rPr>
              <w:t>Izvor podataka</w:t>
            </w:r>
          </w:p>
        </w:tc>
        <w:tc>
          <w:tcPr>
            <w:tcW w:w="533" w:type="pct"/>
            <w:tcBorders>
              <w:top w:val="single" w:sz="4" w:space="0" w:color="auto"/>
              <w:left w:val="nil"/>
              <w:bottom w:val="single" w:sz="4" w:space="0" w:color="auto"/>
              <w:right w:val="single" w:sz="4" w:space="0" w:color="auto"/>
            </w:tcBorders>
            <w:shd w:val="clear" w:color="auto" w:fill="D9D9D9"/>
            <w:vAlign w:val="center"/>
          </w:tcPr>
          <w:p w14:paraId="06FF55AA" w14:textId="3EA59B89" w:rsidR="00206ABA" w:rsidRPr="00A124C2" w:rsidRDefault="00206ABA" w:rsidP="00C11138">
            <w:pPr>
              <w:jc w:val="center"/>
              <w:rPr>
                <w:b/>
                <w:bCs/>
                <w:sz w:val="18"/>
                <w:szCs w:val="18"/>
              </w:rPr>
            </w:pPr>
            <w:r w:rsidRPr="00A124C2">
              <w:rPr>
                <w:b/>
                <w:bCs/>
                <w:sz w:val="18"/>
                <w:szCs w:val="18"/>
              </w:rPr>
              <w:t>Ciljana vrijednost 202</w:t>
            </w:r>
            <w:r w:rsidR="008A4752" w:rsidRPr="00A124C2">
              <w:rPr>
                <w:b/>
                <w:bCs/>
                <w:sz w:val="18"/>
                <w:szCs w:val="18"/>
              </w:rPr>
              <w:t>6</w:t>
            </w:r>
            <w:r w:rsidRPr="00A124C2">
              <w:rPr>
                <w:b/>
                <w:bCs/>
                <w:sz w:val="18"/>
                <w:szCs w:val="18"/>
              </w:rPr>
              <w:t>.</w:t>
            </w:r>
          </w:p>
        </w:tc>
        <w:tc>
          <w:tcPr>
            <w:tcW w:w="588" w:type="pct"/>
            <w:tcBorders>
              <w:top w:val="single" w:sz="4" w:space="0" w:color="auto"/>
              <w:left w:val="nil"/>
              <w:bottom w:val="single" w:sz="4" w:space="0" w:color="auto"/>
              <w:right w:val="single" w:sz="4" w:space="0" w:color="auto"/>
            </w:tcBorders>
            <w:shd w:val="clear" w:color="auto" w:fill="D9D9D9"/>
            <w:vAlign w:val="center"/>
          </w:tcPr>
          <w:p w14:paraId="0C860A31" w14:textId="2F5A1CCC" w:rsidR="00206ABA" w:rsidRPr="00A124C2" w:rsidRDefault="00206ABA" w:rsidP="00C11138">
            <w:pPr>
              <w:jc w:val="center"/>
              <w:rPr>
                <w:b/>
                <w:bCs/>
                <w:sz w:val="18"/>
                <w:szCs w:val="18"/>
              </w:rPr>
            </w:pPr>
            <w:r w:rsidRPr="00A124C2">
              <w:rPr>
                <w:b/>
                <w:bCs/>
                <w:sz w:val="18"/>
                <w:szCs w:val="18"/>
              </w:rPr>
              <w:t>Ciljana vrijednost 202</w:t>
            </w:r>
            <w:r w:rsidR="008A4752" w:rsidRPr="00A124C2">
              <w:rPr>
                <w:b/>
                <w:bCs/>
                <w:sz w:val="18"/>
                <w:szCs w:val="18"/>
              </w:rPr>
              <w:t>7</w:t>
            </w:r>
            <w:r w:rsidRPr="00A124C2">
              <w:rPr>
                <w:b/>
                <w:bCs/>
                <w:sz w:val="18"/>
                <w:szCs w:val="18"/>
              </w:rPr>
              <w:t>.</w:t>
            </w:r>
          </w:p>
        </w:tc>
        <w:tc>
          <w:tcPr>
            <w:tcW w:w="587" w:type="pct"/>
            <w:tcBorders>
              <w:top w:val="single" w:sz="4" w:space="0" w:color="auto"/>
              <w:left w:val="nil"/>
              <w:bottom w:val="single" w:sz="4" w:space="0" w:color="auto"/>
              <w:right w:val="single" w:sz="4" w:space="0" w:color="auto"/>
            </w:tcBorders>
            <w:shd w:val="clear" w:color="auto" w:fill="D9D9D9"/>
            <w:vAlign w:val="center"/>
          </w:tcPr>
          <w:p w14:paraId="0D41AC75" w14:textId="373FCC31" w:rsidR="00206ABA" w:rsidRPr="00A124C2" w:rsidRDefault="00206ABA" w:rsidP="00C11138">
            <w:pPr>
              <w:jc w:val="center"/>
              <w:rPr>
                <w:b/>
                <w:bCs/>
                <w:sz w:val="18"/>
                <w:szCs w:val="18"/>
              </w:rPr>
            </w:pPr>
            <w:r w:rsidRPr="00A124C2">
              <w:rPr>
                <w:b/>
                <w:bCs/>
                <w:sz w:val="18"/>
                <w:szCs w:val="18"/>
              </w:rPr>
              <w:t>Ciljana vrijednost 202</w:t>
            </w:r>
            <w:r w:rsidR="008A4752" w:rsidRPr="00A124C2">
              <w:rPr>
                <w:b/>
                <w:bCs/>
                <w:sz w:val="18"/>
                <w:szCs w:val="18"/>
              </w:rPr>
              <w:t>8</w:t>
            </w:r>
            <w:r w:rsidRPr="00A124C2">
              <w:rPr>
                <w:b/>
                <w:bCs/>
                <w:sz w:val="18"/>
                <w:szCs w:val="18"/>
              </w:rPr>
              <w:t>.</w:t>
            </w:r>
          </w:p>
        </w:tc>
      </w:tr>
      <w:tr w:rsidR="00272EE4" w:rsidRPr="00A124C2" w14:paraId="3A8F3C03" w14:textId="77777777" w:rsidTr="0077473F">
        <w:trPr>
          <w:trHeight w:val="495"/>
          <w:jc w:val="center"/>
        </w:trPr>
        <w:tc>
          <w:tcPr>
            <w:tcW w:w="746" w:type="pct"/>
            <w:tcBorders>
              <w:top w:val="nil"/>
              <w:left w:val="single" w:sz="4" w:space="0" w:color="auto"/>
              <w:bottom w:val="single" w:sz="4" w:space="0" w:color="auto"/>
              <w:right w:val="single" w:sz="4" w:space="0" w:color="auto"/>
            </w:tcBorders>
            <w:vAlign w:val="center"/>
          </w:tcPr>
          <w:p w14:paraId="294577D3" w14:textId="77777777" w:rsidR="00272EE4" w:rsidRPr="00A124C2" w:rsidRDefault="00272EE4" w:rsidP="00C11138">
            <w:pPr>
              <w:jc w:val="center"/>
              <w:rPr>
                <w:sz w:val="22"/>
                <w:szCs w:val="22"/>
              </w:rPr>
            </w:pPr>
            <w:r w:rsidRPr="00A124C2">
              <w:rPr>
                <w:sz w:val="22"/>
                <w:szCs w:val="22"/>
              </w:rPr>
              <w:t>Broj gostujućih profesora</w:t>
            </w:r>
          </w:p>
        </w:tc>
        <w:tc>
          <w:tcPr>
            <w:tcW w:w="649" w:type="pct"/>
            <w:tcBorders>
              <w:top w:val="nil"/>
              <w:left w:val="nil"/>
              <w:bottom w:val="single" w:sz="4" w:space="0" w:color="auto"/>
              <w:right w:val="single" w:sz="4" w:space="0" w:color="auto"/>
            </w:tcBorders>
            <w:noWrap/>
            <w:vAlign w:val="center"/>
          </w:tcPr>
          <w:p w14:paraId="6912A3C1" w14:textId="77777777" w:rsidR="00272EE4" w:rsidRPr="00A124C2" w:rsidRDefault="00272EE4" w:rsidP="00C11138">
            <w:pPr>
              <w:jc w:val="center"/>
              <w:rPr>
                <w:sz w:val="22"/>
                <w:szCs w:val="22"/>
              </w:rPr>
            </w:pPr>
            <w:r w:rsidRPr="00A124C2">
              <w:rPr>
                <w:sz w:val="22"/>
                <w:szCs w:val="22"/>
              </w:rPr>
              <w:t>Angažirani</w:t>
            </w:r>
          </w:p>
          <w:p w14:paraId="0B21159B" w14:textId="77777777" w:rsidR="00272EE4" w:rsidRPr="00A124C2" w:rsidRDefault="00272EE4" w:rsidP="00C11138">
            <w:pPr>
              <w:jc w:val="center"/>
              <w:rPr>
                <w:sz w:val="22"/>
                <w:szCs w:val="22"/>
              </w:rPr>
            </w:pPr>
            <w:r w:rsidRPr="00A124C2">
              <w:rPr>
                <w:sz w:val="22"/>
                <w:szCs w:val="22"/>
              </w:rPr>
              <w:t>gostujući</w:t>
            </w:r>
          </w:p>
          <w:p w14:paraId="0F46A3C4" w14:textId="77777777" w:rsidR="00272EE4" w:rsidRPr="00A124C2" w:rsidRDefault="00272EE4" w:rsidP="00C11138">
            <w:pPr>
              <w:jc w:val="center"/>
              <w:rPr>
                <w:sz w:val="22"/>
                <w:szCs w:val="22"/>
              </w:rPr>
            </w:pPr>
            <w:r w:rsidRPr="00A124C2">
              <w:rPr>
                <w:sz w:val="22"/>
                <w:szCs w:val="22"/>
              </w:rPr>
              <w:t>profesori</w:t>
            </w:r>
          </w:p>
          <w:p w14:paraId="2405627B" w14:textId="77777777" w:rsidR="00272EE4" w:rsidRPr="00A124C2" w:rsidRDefault="00272EE4" w:rsidP="00C11138">
            <w:pPr>
              <w:jc w:val="center"/>
              <w:rPr>
                <w:sz w:val="22"/>
                <w:szCs w:val="22"/>
              </w:rPr>
            </w:pPr>
            <w:r w:rsidRPr="00A124C2">
              <w:rPr>
                <w:sz w:val="22"/>
                <w:szCs w:val="22"/>
              </w:rPr>
              <w:t>(dvogodišnji mandat)</w:t>
            </w:r>
          </w:p>
        </w:tc>
        <w:tc>
          <w:tcPr>
            <w:tcW w:w="602" w:type="pct"/>
            <w:tcBorders>
              <w:top w:val="nil"/>
              <w:left w:val="nil"/>
              <w:bottom w:val="single" w:sz="4" w:space="0" w:color="auto"/>
              <w:right w:val="single" w:sz="4" w:space="0" w:color="auto"/>
            </w:tcBorders>
            <w:noWrap/>
            <w:vAlign w:val="center"/>
          </w:tcPr>
          <w:p w14:paraId="7D9FDF13" w14:textId="77777777" w:rsidR="00272EE4" w:rsidRPr="00A124C2" w:rsidRDefault="00272EE4" w:rsidP="00C11138">
            <w:pPr>
              <w:jc w:val="center"/>
              <w:rPr>
                <w:sz w:val="22"/>
                <w:szCs w:val="22"/>
              </w:rPr>
            </w:pPr>
            <w:r w:rsidRPr="00A124C2">
              <w:rPr>
                <w:sz w:val="22"/>
                <w:szCs w:val="22"/>
              </w:rPr>
              <w:t>Broj</w:t>
            </w:r>
          </w:p>
          <w:p w14:paraId="793DC64C" w14:textId="77777777" w:rsidR="00272EE4" w:rsidRPr="00A124C2" w:rsidRDefault="00272EE4" w:rsidP="00C11138">
            <w:pPr>
              <w:jc w:val="center"/>
              <w:rPr>
                <w:sz w:val="22"/>
                <w:szCs w:val="22"/>
              </w:rPr>
            </w:pPr>
            <w:r w:rsidRPr="00A124C2">
              <w:rPr>
                <w:sz w:val="22"/>
                <w:szCs w:val="22"/>
              </w:rPr>
              <w:t>profesora</w:t>
            </w:r>
          </w:p>
        </w:tc>
        <w:tc>
          <w:tcPr>
            <w:tcW w:w="575" w:type="pct"/>
            <w:tcBorders>
              <w:top w:val="nil"/>
              <w:left w:val="nil"/>
              <w:bottom w:val="single" w:sz="4" w:space="0" w:color="auto"/>
              <w:right w:val="single" w:sz="4" w:space="0" w:color="auto"/>
            </w:tcBorders>
            <w:noWrap/>
            <w:vAlign w:val="center"/>
          </w:tcPr>
          <w:p w14:paraId="51ED4F1D" w14:textId="77777777" w:rsidR="00272EE4" w:rsidRPr="00A124C2" w:rsidRDefault="008C4D8A" w:rsidP="00C11138">
            <w:pPr>
              <w:jc w:val="center"/>
              <w:rPr>
                <w:sz w:val="22"/>
                <w:szCs w:val="22"/>
              </w:rPr>
            </w:pPr>
            <w:r w:rsidRPr="00A124C2">
              <w:rPr>
                <w:sz w:val="22"/>
                <w:szCs w:val="22"/>
              </w:rPr>
              <w:t>4</w:t>
            </w:r>
          </w:p>
        </w:tc>
        <w:tc>
          <w:tcPr>
            <w:tcW w:w="719" w:type="pct"/>
            <w:tcBorders>
              <w:top w:val="nil"/>
              <w:left w:val="nil"/>
              <w:bottom w:val="single" w:sz="4" w:space="0" w:color="auto"/>
              <w:right w:val="single" w:sz="4" w:space="0" w:color="auto"/>
            </w:tcBorders>
            <w:noWrap/>
            <w:vAlign w:val="center"/>
          </w:tcPr>
          <w:p w14:paraId="1800EEF8" w14:textId="77777777" w:rsidR="00272EE4" w:rsidRPr="00A124C2" w:rsidRDefault="00272EE4" w:rsidP="00C11138">
            <w:pPr>
              <w:jc w:val="center"/>
              <w:rPr>
                <w:sz w:val="22"/>
                <w:szCs w:val="22"/>
              </w:rPr>
            </w:pPr>
            <w:r w:rsidRPr="00A124C2">
              <w:rPr>
                <w:sz w:val="22"/>
                <w:szCs w:val="22"/>
              </w:rPr>
              <w:t>Uprava fakulteta</w:t>
            </w:r>
          </w:p>
          <w:p w14:paraId="76DC54FD" w14:textId="77777777" w:rsidR="00272EE4" w:rsidRPr="00A124C2" w:rsidRDefault="00272EE4" w:rsidP="00C11138">
            <w:pPr>
              <w:jc w:val="center"/>
              <w:rPr>
                <w:sz w:val="22"/>
                <w:szCs w:val="22"/>
              </w:rPr>
            </w:pPr>
            <w:r w:rsidRPr="00A124C2">
              <w:rPr>
                <w:sz w:val="22"/>
                <w:szCs w:val="22"/>
              </w:rPr>
              <w:t>Služba za</w:t>
            </w:r>
          </w:p>
          <w:p w14:paraId="7DB57740" w14:textId="77777777" w:rsidR="00272EE4" w:rsidRPr="00A124C2" w:rsidRDefault="00272EE4" w:rsidP="00C11138">
            <w:pPr>
              <w:jc w:val="center"/>
              <w:rPr>
                <w:sz w:val="22"/>
                <w:szCs w:val="22"/>
              </w:rPr>
            </w:pPr>
            <w:r w:rsidRPr="00A124C2">
              <w:rPr>
                <w:sz w:val="22"/>
                <w:szCs w:val="22"/>
              </w:rPr>
              <w:t>Međunarodnu</w:t>
            </w:r>
          </w:p>
          <w:p w14:paraId="35ACD081" w14:textId="77777777" w:rsidR="00272EE4" w:rsidRPr="00A124C2" w:rsidRDefault="00272EE4" w:rsidP="00C11138">
            <w:pPr>
              <w:jc w:val="center"/>
              <w:rPr>
                <w:sz w:val="22"/>
                <w:szCs w:val="22"/>
              </w:rPr>
            </w:pPr>
            <w:r w:rsidRPr="00A124C2">
              <w:rPr>
                <w:sz w:val="22"/>
                <w:szCs w:val="22"/>
              </w:rPr>
              <w:t>suradnju</w:t>
            </w:r>
          </w:p>
        </w:tc>
        <w:tc>
          <w:tcPr>
            <w:tcW w:w="533" w:type="pct"/>
            <w:tcBorders>
              <w:top w:val="nil"/>
              <w:left w:val="nil"/>
              <w:bottom w:val="single" w:sz="4" w:space="0" w:color="auto"/>
              <w:right w:val="single" w:sz="4" w:space="0" w:color="auto"/>
            </w:tcBorders>
            <w:noWrap/>
            <w:vAlign w:val="center"/>
          </w:tcPr>
          <w:p w14:paraId="41C7C140" w14:textId="77777777" w:rsidR="00272EE4" w:rsidRPr="00A124C2" w:rsidRDefault="008C4D8A" w:rsidP="00C11138">
            <w:pPr>
              <w:jc w:val="center"/>
              <w:rPr>
                <w:sz w:val="22"/>
                <w:szCs w:val="22"/>
              </w:rPr>
            </w:pPr>
            <w:r w:rsidRPr="00A124C2">
              <w:rPr>
                <w:sz w:val="22"/>
                <w:szCs w:val="22"/>
              </w:rPr>
              <w:t>5</w:t>
            </w:r>
          </w:p>
        </w:tc>
        <w:tc>
          <w:tcPr>
            <w:tcW w:w="588" w:type="pct"/>
            <w:tcBorders>
              <w:top w:val="nil"/>
              <w:left w:val="nil"/>
              <w:bottom w:val="single" w:sz="4" w:space="0" w:color="auto"/>
              <w:right w:val="single" w:sz="4" w:space="0" w:color="auto"/>
            </w:tcBorders>
            <w:noWrap/>
            <w:vAlign w:val="center"/>
          </w:tcPr>
          <w:p w14:paraId="274D8CAB" w14:textId="77777777" w:rsidR="00272EE4" w:rsidRPr="00A124C2" w:rsidRDefault="008C4D8A" w:rsidP="00C11138">
            <w:pPr>
              <w:jc w:val="center"/>
              <w:rPr>
                <w:sz w:val="22"/>
                <w:szCs w:val="22"/>
              </w:rPr>
            </w:pPr>
            <w:r w:rsidRPr="00A124C2">
              <w:rPr>
                <w:sz w:val="22"/>
                <w:szCs w:val="22"/>
              </w:rPr>
              <w:t>5</w:t>
            </w:r>
          </w:p>
        </w:tc>
        <w:tc>
          <w:tcPr>
            <w:tcW w:w="587" w:type="pct"/>
            <w:tcBorders>
              <w:top w:val="nil"/>
              <w:left w:val="nil"/>
              <w:bottom w:val="single" w:sz="4" w:space="0" w:color="auto"/>
              <w:right w:val="single" w:sz="4" w:space="0" w:color="auto"/>
            </w:tcBorders>
            <w:noWrap/>
            <w:vAlign w:val="center"/>
          </w:tcPr>
          <w:p w14:paraId="651A3C7C" w14:textId="77777777" w:rsidR="00272EE4" w:rsidRPr="00A124C2" w:rsidRDefault="008C4D8A" w:rsidP="00C11138">
            <w:pPr>
              <w:jc w:val="center"/>
              <w:rPr>
                <w:sz w:val="22"/>
                <w:szCs w:val="22"/>
              </w:rPr>
            </w:pPr>
            <w:r w:rsidRPr="00A124C2">
              <w:rPr>
                <w:sz w:val="22"/>
                <w:szCs w:val="22"/>
              </w:rPr>
              <w:t>6</w:t>
            </w:r>
          </w:p>
        </w:tc>
      </w:tr>
    </w:tbl>
    <w:p w14:paraId="23FE0633" w14:textId="77777777" w:rsidR="00AA265A" w:rsidRPr="00A124C2" w:rsidRDefault="00AA265A" w:rsidP="00C11138">
      <w:pPr>
        <w:jc w:val="both"/>
        <w:rPr>
          <w:b/>
          <w:bCs/>
        </w:rPr>
      </w:pPr>
    </w:p>
    <w:p w14:paraId="63409476" w14:textId="70C4A7B5" w:rsidR="00AA265A" w:rsidRPr="00A124C2" w:rsidRDefault="00222B4E" w:rsidP="00C11138">
      <w:pPr>
        <w:jc w:val="both"/>
        <w:rPr>
          <w:b/>
          <w:bCs/>
        </w:rPr>
      </w:pPr>
      <w:r w:rsidRPr="00A124C2">
        <w:rPr>
          <w:b/>
          <w:bCs/>
        </w:rPr>
        <w:lastRenderedPageBreak/>
        <w:t xml:space="preserve">CILJ </w:t>
      </w:r>
      <w:r w:rsidR="000200FC" w:rsidRPr="00A124C2">
        <w:rPr>
          <w:b/>
          <w:bCs/>
        </w:rPr>
        <w:t>7. UNAPRIJEDITI POSLOVANJE STOMATOLOŠKOG FAKULTETA</w:t>
      </w:r>
    </w:p>
    <w:p w14:paraId="4362B53A" w14:textId="13AF60DA" w:rsidR="000200FC" w:rsidRPr="00A124C2" w:rsidRDefault="000200FC" w:rsidP="00C11138">
      <w:pPr>
        <w:jc w:val="both"/>
        <w:rPr>
          <w:bCs/>
        </w:rPr>
      </w:pPr>
      <w:r w:rsidRPr="00A124C2">
        <w:rPr>
          <w:bCs/>
        </w:rPr>
        <w:t>Aktivnost je usmjerena ka povećanju učinkovitosti, transparentnosti i sigurnosti u poslovanju, optimizaciji radnih tijekova, jačanju kvalitete upravljanja resursima te omogućavanju fleksibilnijeg i modernijeg obrazovnog okruženja, ali i zelena tranzicija zbog prelaska na dokumentaciju bez tiskanja.</w:t>
      </w:r>
    </w:p>
    <w:p w14:paraId="4A234AF6" w14:textId="77777777" w:rsidR="000200FC" w:rsidRPr="00A124C2" w:rsidRDefault="000200FC" w:rsidP="00C11138">
      <w:pPr>
        <w:jc w:val="both"/>
        <w:rPr>
          <w:b/>
          <w:bCs/>
        </w:rPr>
      </w:pPr>
    </w:p>
    <w:p w14:paraId="7BD3EA2C" w14:textId="6B32B6E6" w:rsidR="000200FC" w:rsidRPr="00A124C2" w:rsidRDefault="000200FC" w:rsidP="00C11138">
      <w:pPr>
        <w:rPr>
          <w:b/>
          <w:color w:val="000000"/>
        </w:rPr>
      </w:pPr>
      <w:r w:rsidRPr="00A124C2">
        <w:rPr>
          <w:b/>
          <w:bCs/>
        </w:rPr>
        <w:t xml:space="preserve">7.1. </w:t>
      </w:r>
      <w:r w:rsidRPr="00A124C2">
        <w:rPr>
          <w:b/>
          <w:color w:val="000000"/>
        </w:rPr>
        <w:t>Digitalna transformacija poslovanja Stomatološkog fakulteta</w:t>
      </w:r>
    </w:p>
    <w:p w14:paraId="6A5B7292" w14:textId="6E2E5148" w:rsidR="000200FC" w:rsidRPr="00A124C2" w:rsidRDefault="000200FC" w:rsidP="00C11138">
      <w:pPr>
        <w:spacing w:after="160"/>
        <w:jc w:val="both"/>
        <w:rPr>
          <w:bCs/>
        </w:rPr>
      </w:pPr>
      <w:r w:rsidRPr="00A124C2">
        <w:rPr>
          <w:bCs/>
        </w:rPr>
        <w:t xml:space="preserve">Aktivnost Digitalna transformacija poslovanja Stomatološkog fakulteta obuhvaća set mjera i tehnoloških inovacija s ciljem integracije digitalnih alata u administrativne, obrazovne i razvojne procese Fakulteta. U okviru ove aktivnosti modernizirat će se i optimizirati procedure vezane uz financijsko knjigovodstvo i blagajnu, upravljanje osnova sredstvima i inventarom, obračun plaća, materijalno poslovanje, narudžbenice i fakturiranje, digitalizaciju inventure, odobravanje i potpisivanje dokumenata, putne naloge, plan nabave, zahtjevnice, organizaciju upisa studenata te upravljanje nastavnim procesima i stručnom praksom. Uvest će se digitalni alati za unutarnje vrjednovanje, razvoj karijere, vođenje projekata te mobilnost zaposlenika i studenata, kao i mogućnost online plaćanja. </w:t>
      </w:r>
    </w:p>
    <w:p w14:paraId="17724863" w14:textId="1CF3BCC7" w:rsidR="000200FC" w:rsidRPr="00A124C2" w:rsidRDefault="000200FC" w:rsidP="00C11138">
      <w:pPr>
        <w:spacing w:after="160"/>
        <w:rPr>
          <w:b/>
          <w:bCs/>
        </w:rPr>
      </w:pPr>
      <w:r w:rsidRPr="00A124C2">
        <w:rPr>
          <w:b/>
          <w:bCs/>
        </w:rPr>
        <w:t>7.2. Obnova informatičke infrastrukture za studente i zaposlenike u sklopu digitalizacije fakulteta</w:t>
      </w:r>
    </w:p>
    <w:p w14:paraId="333BC7F1" w14:textId="76A2B92A" w:rsidR="000200FC" w:rsidRPr="00A124C2" w:rsidRDefault="000200FC" w:rsidP="00C11138">
      <w:pPr>
        <w:spacing w:after="160"/>
        <w:jc w:val="both"/>
        <w:rPr>
          <w:bCs/>
        </w:rPr>
      </w:pPr>
      <w:r w:rsidRPr="00A124C2">
        <w:rPr>
          <w:bCs/>
        </w:rPr>
        <w:t>Aktivnost podrazumijeva kompletnu obnovu informatičke infrastrukture Stomatološkog fakulteta kako bi se osigurala digitalna transformacija nastavnog, znanstvenog i administrativnog procesa. Nabavom novih računala, serverske i mrežne opreme te dodatnih IT komponenti omogućit će se brži pristup digitalnim obrazovnim sadržajima, unaprijediti e-učenje i podržati istraživačke projekte. Modernizirana infrastruktura omogućit će studentima korištenje naprednih softverskih alata, a nastavnicima integraciju inovativnih metoda u nastavi. Povećat će se učinkovitost rada svih službi, potaknuti suradnja s vanjskim partnerima i olakšati pristup međunarodnim projektima. Projekt doprinosi stvaranju suvremenog, digitalno opremljenog fakulteta koji odgovara zahtjevima današnjeg obrazovanja i istraživanja.</w:t>
      </w:r>
    </w:p>
    <w:tbl>
      <w:tblPr>
        <w:tblStyle w:val="TableGrid"/>
        <w:tblW w:w="5003" w:type="pct"/>
        <w:tblLayout w:type="fixed"/>
        <w:tblLook w:val="00A0" w:firstRow="1" w:lastRow="0" w:firstColumn="1" w:lastColumn="0" w:noHBand="0" w:noVBand="0"/>
      </w:tblPr>
      <w:tblGrid>
        <w:gridCol w:w="1438"/>
        <w:gridCol w:w="1250"/>
        <w:gridCol w:w="1162"/>
        <w:gridCol w:w="1108"/>
        <w:gridCol w:w="1385"/>
        <w:gridCol w:w="1027"/>
        <w:gridCol w:w="1133"/>
        <w:gridCol w:w="1131"/>
      </w:tblGrid>
      <w:tr w:rsidR="000200FC" w:rsidRPr="00A124C2" w14:paraId="2A2767AE" w14:textId="77777777" w:rsidTr="00067055">
        <w:trPr>
          <w:trHeight w:val="675"/>
        </w:trPr>
        <w:tc>
          <w:tcPr>
            <w:tcW w:w="746" w:type="pct"/>
            <w:shd w:val="clear" w:color="auto" w:fill="AEAAAA" w:themeFill="background2" w:themeFillShade="BF"/>
            <w:noWrap/>
            <w:vAlign w:val="center"/>
          </w:tcPr>
          <w:p w14:paraId="78952E39" w14:textId="77777777" w:rsidR="000200FC" w:rsidRPr="00A124C2" w:rsidRDefault="000200FC" w:rsidP="00C11138">
            <w:pPr>
              <w:jc w:val="center"/>
              <w:rPr>
                <w:b/>
                <w:bCs/>
                <w:sz w:val="18"/>
                <w:szCs w:val="18"/>
              </w:rPr>
            </w:pPr>
            <w:r w:rsidRPr="00A124C2">
              <w:rPr>
                <w:b/>
                <w:bCs/>
                <w:sz w:val="18"/>
                <w:szCs w:val="18"/>
              </w:rPr>
              <w:t>Pokazatelj rezultata</w:t>
            </w:r>
          </w:p>
        </w:tc>
        <w:tc>
          <w:tcPr>
            <w:tcW w:w="649" w:type="pct"/>
            <w:shd w:val="clear" w:color="auto" w:fill="AEAAAA" w:themeFill="background2" w:themeFillShade="BF"/>
            <w:vAlign w:val="center"/>
          </w:tcPr>
          <w:p w14:paraId="0E1B48B5" w14:textId="77777777" w:rsidR="000200FC" w:rsidRPr="00A124C2" w:rsidRDefault="000200FC" w:rsidP="00C11138">
            <w:pPr>
              <w:jc w:val="center"/>
              <w:rPr>
                <w:b/>
                <w:bCs/>
                <w:sz w:val="18"/>
                <w:szCs w:val="18"/>
              </w:rPr>
            </w:pPr>
            <w:r w:rsidRPr="00A124C2">
              <w:rPr>
                <w:b/>
                <w:bCs/>
                <w:sz w:val="18"/>
                <w:szCs w:val="18"/>
              </w:rPr>
              <w:t>Definicija</w:t>
            </w:r>
          </w:p>
        </w:tc>
        <w:tc>
          <w:tcPr>
            <w:tcW w:w="603" w:type="pct"/>
            <w:shd w:val="clear" w:color="auto" w:fill="AEAAAA" w:themeFill="background2" w:themeFillShade="BF"/>
            <w:vAlign w:val="center"/>
          </w:tcPr>
          <w:p w14:paraId="47C0EEF1" w14:textId="77777777" w:rsidR="000200FC" w:rsidRPr="00A124C2" w:rsidRDefault="000200FC" w:rsidP="00C11138">
            <w:pPr>
              <w:jc w:val="center"/>
              <w:rPr>
                <w:b/>
                <w:bCs/>
                <w:sz w:val="18"/>
                <w:szCs w:val="18"/>
              </w:rPr>
            </w:pPr>
            <w:r w:rsidRPr="00A124C2">
              <w:rPr>
                <w:b/>
                <w:bCs/>
                <w:sz w:val="18"/>
                <w:szCs w:val="18"/>
              </w:rPr>
              <w:t>Jedinica</w:t>
            </w:r>
          </w:p>
        </w:tc>
        <w:tc>
          <w:tcPr>
            <w:tcW w:w="575" w:type="pct"/>
            <w:shd w:val="clear" w:color="auto" w:fill="AEAAAA" w:themeFill="background2" w:themeFillShade="BF"/>
            <w:vAlign w:val="center"/>
          </w:tcPr>
          <w:p w14:paraId="4F9B6D50" w14:textId="5D16A37D" w:rsidR="000200FC" w:rsidRPr="00A124C2" w:rsidRDefault="000200FC" w:rsidP="00C11138">
            <w:pPr>
              <w:jc w:val="center"/>
              <w:rPr>
                <w:b/>
                <w:bCs/>
                <w:sz w:val="18"/>
                <w:szCs w:val="18"/>
              </w:rPr>
            </w:pPr>
            <w:r w:rsidRPr="00A124C2">
              <w:rPr>
                <w:b/>
                <w:bCs/>
                <w:sz w:val="18"/>
                <w:szCs w:val="18"/>
              </w:rPr>
              <w:t>Polazna vrijednost</w:t>
            </w:r>
            <w:r w:rsidR="008A4752" w:rsidRPr="00A124C2">
              <w:rPr>
                <w:b/>
                <w:bCs/>
                <w:sz w:val="18"/>
                <w:szCs w:val="18"/>
              </w:rPr>
              <w:t xml:space="preserve"> 2025.</w:t>
            </w:r>
          </w:p>
        </w:tc>
        <w:tc>
          <w:tcPr>
            <w:tcW w:w="719" w:type="pct"/>
            <w:shd w:val="clear" w:color="auto" w:fill="AEAAAA" w:themeFill="background2" w:themeFillShade="BF"/>
            <w:vAlign w:val="center"/>
          </w:tcPr>
          <w:p w14:paraId="18BD8722" w14:textId="77777777" w:rsidR="000200FC" w:rsidRPr="00A124C2" w:rsidRDefault="000200FC" w:rsidP="00C11138">
            <w:pPr>
              <w:jc w:val="center"/>
              <w:rPr>
                <w:b/>
                <w:bCs/>
                <w:sz w:val="18"/>
                <w:szCs w:val="18"/>
              </w:rPr>
            </w:pPr>
            <w:r w:rsidRPr="00A124C2">
              <w:rPr>
                <w:b/>
                <w:bCs/>
                <w:sz w:val="18"/>
                <w:szCs w:val="18"/>
              </w:rPr>
              <w:t>Izvor podataka</w:t>
            </w:r>
          </w:p>
        </w:tc>
        <w:tc>
          <w:tcPr>
            <w:tcW w:w="533" w:type="pct"/>
            <w:shd w:val="clear" w:color="auto" w:fill="AEAAAA" w:themeFill="background2" w:themeFillShade="BF"/>
            <w:vAlign w:val="center"/>
          </w:tcPr>
          <w:p w14:paraId="39F5DA80" w14:textId="30DB60FB" w:rsidR="000200FC" w:rsidRPr="00A124C2" w:rsidRDefault="000200FC" w:rsidP="00C11138">
            <w:pPr>
              <w:jc w:val="center"/>
              <w:rPr>
                <w:b/>
                <w:bCs/>
                <w:sz w:val="18"/>
                <w:szCs w:val="18"/>
              </w:rPr>
            </w:pPr>
            <w:r w:rsidRPr="00A124C2">
              <w:rPr>
                <w:b/>
                <w:bCs/>
                <w:sz w:val="18"/>
                <w:szCs w:val="18"/>
              </w:rPr>
              <w:t>Ciljana vrijednost 202</w:t>
            </w:r>
            <w:r w:rsidR="008A4752" w:rsidRPr="00A124C2">
              <w:rPr>
                <w:b/>
                <w:bCs/>
                <w:sz w:val="18"/>
                <w:szCs w:val="18"/>
              </w:rPr>
              <w:t>6</w:t>
            </w:r>
            <w:r w:rsidRPr="00A124C2">
              <w:rPr>
                <w:b/>
                <w:bCs/>
                <w:sz w:val="18"/>
                <w:szCs w:val="18"/>
              </w:rPr>
              <w:t>.</w:t>
            </w:r>
          </w:p>
        </w:tc>
        <w:tc>
          <w:tcPr>
            <w:tcW w:w="588" w:type="pct"/>
            <w:shd w:val="clear" w:color="auto" w:fill="AEAAAA" w:themeFill="background2" w:themeFillShade="BF"/>
            <w:vAlign w:val="center"/>
          </w:tcPr>
          <w:p w14:paraId="27CC2E5A" w14:textId="16ED7F4C" w:rsidR="000200FC" w:rsidRPr="00A124C2" w:rsidRDefault="000200FC" w:rsidP="00C11138">
            <w:pPr>
              <w:jc w:val="center"/>
              <w:rPr>
                <w:b/>
                <w:bCs/>
                <w:sz w:val="18"/>
                <w:szCs w:val="18"/>
              </w:rPr>
            </w:pPr>
            <w:r w:rsidRPr="00A124C2">
              <w:rPr>
                <w:b/>
                <w:bCs/>
                <w:sz w:val="18"/>
                <w:szCs w:val="18"/>
              </w:rPr>
              <w:t>Ciljana vrijednost 202</w:t>
            </w:r>
            <w:r w:rsidR="008A4752" w:rsidRPr="00A124C2">
              <w:rPr>
                <w:b/>
                <w:bCs/>
                <w:sz w:val="18"/>
                <w:szCs w:val="18"/>
              </w:rPr>
              <w:t>7.</w:t>
            </w:r>
          </w:p>
        </w:tc>
        <w:tc>
          <w:tcPr>
            <w:tcW w:w="587" w:type="pct"/>
            <w:shd w:val="clear" w:color="auto" w:fill="AEAAAA" w:themeFill="background2" w:themeFillShade="BF"/>
            <w:vAlign w:val="center"/>
          </w:tcPr>
          <w:p w14:paraId="5F1B01F8" w14:textId="053421F9" w:rsidR="000200FC" w:rsidRPr="00A124C2" w:rsidRDefault="000200FC" w:rsidP="00C11138">
            <w:pPr>
              <w:jc w:val="center"/>
              <w:rPr>
                <w:b/>
                <w:bCs/>
                <w:sz w:val="18"/>
                <w:szCs w:val="18"/>
              </w:rPr>
            </w:pPr>
            <w:r w:rsidRPr="00A124C2">
              <w:rPr>
                <w:b/>
                <w:bCs/>
                <w:sz w:val="18"/>
                <w:szCs w:val="18"/>
              </w:rPr>
              <w:t>Ciljana vrijednost 202</w:t>
            </w:r>
            <w:r w:rsidR="008A4752" w:rsidRPr="00A124C2">
              <w:rPr>
                <w:b/>
                <w:bCs/>
                <w:sz w:val="18"/>
                <w:szCs w:val="18"/>
              </w:rPr>
              <w:t>8</w:t>
            </w:r>
            <w:r w:rsidRPr="00A124C2">
              <w:rPr>
                <w:b/>
                <w:bCs/>
                <w:sz w:val="18"/>
                <w:szCs w:val="18"/>
              </w:rPr>
              <w:t>.</w:t>
            </w:r>
          </w:p>
        </w:tc>
      </w:tr>
      <w:tr w:rsidR="000200FC" w:rsidRPr="00A124C2" w14:paraId="57F39F61" w14:textId="77777777" w:rsidTr="00067055">
        <w:trPr>
          <w:trHeight w:val="675"/>
        </w:trPr>
        <w:tc>
          <w:tcPr>
            <w:tcW w:w="746" w:type="pct"/>
            <w:noWrap/>
            <w:vAlign w:val="center"/>
          </w:tcPr>
          <w:p w14:paraId="2E563302" w14:textId="5B989F59" w:rsidR="000200FC" w:rsidRPr="00A124C2" w:rsidRDefault="000200FC" w:rsidP="00C11138">
            <w:pPr>
              <w:jc w:val="center"/>
              <w:rPr>
                <w:bCs/>
                <w:sz w:val="22"/>
                <w:szCs w:val="22"/>
              </w:rPr>
            </w:pPr>
            <w:r w:rsidRPr="00A124C2">
              <w:rPr>
                <w:bCs/>
                <w:sz w:val="22"/>
                <w:szCs w:val="22"/>
              </w:rPr>
              <w:t>Broj novih digitalnih alata</w:t>
            </w:r>
          </w:p>
        </w:tc>
        <w:tc>
          <w:tcPr>
            <w:tcW w:w="649" w:type="pct"/>
            <w:vAlign w:val="center"/>
          </w:tcPr>
          <w:p w14:paraId="3BEF9D3B" w14:textId="1E110351" w:rsidR="000200FC" w:rsidRPr="00A124C2" w:rsidRDefault="000200FC" w:rsidP="00C11138">
            <w:pPr>
              <w:jc w:val="center"/>
              <w:rPr>
                <w:bCs/>
                <w:sz w:val="22"/>
                <w:szCs w:val="22"/>
              </w:rPr>
            </w:pPr>
            <w:r w:rsidRPr="00A124C2">
              <w:rPr>
                <w:bCs/>
                <w:sz w:val="22"/>
                <w:szCs w:val="22"/>
              </w:rPr>
              <w:t xml:space="preserve">Broj </w:t>
            </w:r>
            <w:proofErr w:type="spellStart"/>
            <w:r w:rsidRPr="00A124C2">
              <w:rPr>
                <w:bCs/>
                <w:sz w:val="22"/>
                <w:szCs w:val="22"/>
              </w:rPr>
              <w:t>novoimplementiranih</w:t>
            </w:r>
            <w:proofErr w:type="spellEnd"/>
            <w:r w:rsidRPr="00A124C2">
              <w:rPr>
                <w:bCs/>
                <w:sz w:val="22"/>
                <w:szCs w:val="22"/>
              </w:rPr>
              <w:t xml:space="preserve"> programa</w:t>
            </w:r>
          </w:p>
        </w:tc>
        <w:tc>
          <w:tcPr>
            <w:tcW w:w="603" w:type="pct"/>
            <w:vAlign w:val="center"/>
          </w:tcPr>
          <w:p w14:paraId="2A2112A1" w14:textId="77777777" w:rsidR="000200FC" w:rsidRPr="00A124C2" w:rsidRDefault="000200FC" w:rsidP="00C11138">
            <w:pPr>
              <w:jc w:val="center"/>
              <w:rPr>
                <w:sz w:val="22"/>
                <w:szCs w:val="22"/>
              </w:rPr>
            </w:pPr>
            <w:r w:rsidRPr="00A124C2">
              <w:rPr>
                <w:sz w:val="22"/>
                <w:szCs w:val="22"/>
              </w:rPr>
              <w:t>Broj</w:t>
            </w:r>
          </w:p>
          <w:p w14:paraId="726FC18A" w14:textId="77777777" w:rsidR="000200FC" w:rsidRPr="00A124C2" w:rsidRDefault="000200FC" w:rsidP="00C11138">
            <w:pPr>
              <w:jc w:val="center"/>
              <w:rPr>
                <w:b/>
                <w:bCs/>
                <w:sz w:val="22"/>
                <w:szCs w:val="22"/>
              </w:rPr>
            </w:pPr>
          </w:p>
        </w:tc>
        <w:tc>
          <w:tcPr>
            <w:tcW w:w="575" w:type="pct"/>
            <w:vAlign w:val="center"/>
          </w:tcPr>
          <w:p w14:paraId="4460B48F" w14:textId="51D46ADA" w:rsidR="000200FC" w:rsidRPr="00A124C2" w:rsidRDefault="000200FC" w:rsidP="00C11138">
            <w:pPr>
              <w:jc w:val="center"/>
              <w:rPr>
                <w:b/>
                <w:bCs/>
                <w:sz w:val="22"/>
                <w:szCs w:val="22"/>
              </w:rPr>
            </w:pPr>
            <w:r w:rsidRPr="00A124C2">
              <w:rPr>
                <w:sz w:val="22"/>
                <w:szCs w:val="22"/>
              </w:rPr>
              <w:t>0</w:t>
            </w:r>
          </w:p>
        </w:tc>
        <w:tc>
          <w:tcPr>
            <w:tcW w:w="719" w:type="pct"/>
            <w:vAlign w:val="center"/>
          </w:tcPr>
          <w:p w14:paraId="4CFB9B4E" w14:textId="5D140828" w:rsidR="000200FC" w:rsidRPr="00A124C2" w:rsidRDefault="000200FC" w:rsidP="00C11138">
            <w:pPr>
              <w:jc w:val="center"/>
              <w:rPr>
                <w:b/>
                <w:bCs/>
                <w:sz w:val="22"/>
                <w:szCs w:val="22"/>
              </w:rPr>
            </w:pPr>
            <w:r w:rsidRPr="00A124C2">
              <w:rPr>
                <w:sz w:val="22"/>
                <w:szCs w:val="22"/>
                <w:lang w:eastAsia="en-GB"/>
              </w:rPr>
              <w:t>Prodekan za poslovanje, infrastrukturu i projekte</w:t>
            </w:r>
          </w:p>
        </w:tc>
        <w:tc>
          <w:tcPr>
            <w:tcW w:w="533" w:type="pct"/>
            <w:vAlign w:val="center"/>
          </w:tcPr>
          <w:p w14:paraId="6B81D281" w14:textId="6489D400" w:rsidR="000200FC" w:rsidRPr="00A124C2" w:rsidRDefault="000200FC" w:rsidP="00C11138">
            <w:pPr>
              <w:jc w:val="center"/>
              <w:rPr>
                <w:b/>
                <w:bCs/>
                <w:sz w:val="22"/>
                <w:szCs w:val="22"/>
              </w:rPr>
            </w:pPr>
            <w:r w:rsidRPr="00A124C2">
              <w:rPr>
                <w:sz w:val="22"/>
                <w:szCs w:val="22"/>
              </w:rPr>
              <w:t>1</w:t>
            </w:r>
          </w:p>
        </w:tc>
        <w:tc>
          <w:tcPr>
            <w:tcW w:w="588" w:type="pct"/>
            <w:vAlign w:val="center"/>
          </w:tcPr>
          <w:p w14:paraId="6E759087" w14:textId="1696EC4E" w:rsidR="000200FC" w:rsidRPr="00A124C2" w:rsidRDefault="000200FC" w:rsidP="00C11138">
            <w:pPr>
              <w:jc w:val="center"/>
              <w:rPr>
                <w:b/>
                <w:bCs/>
                <w:sz w:val="22"/>
                <w:szCs w:val="22"/>
              </w:rPr>
            </w:pPr>
            <w:r w:rsidRPr="00A124C2">
              <w:rPr>
                <w:sz w:val="22"/>
                <w:szCs w:val="22"/>
              </w:rPr>
              <w:t>2</w:t>
            </w:r>
          </w:p>
        </w:tc>
        <w:tc>
          <w:tcPr>
            <w:tcW w:w="587" w:type="pct"/>
            <w:vAlign w:val="center"/>
          </w:tcPr>
          <w:p w14:paraId="2F367A03" w14:textId="36F419D1" w:rsidR="000200FC" w:rsidRPr="00A124C2" w:rsidRDefault="000200FC" w:rsidP="00C11138">
            <w:pPr>
              <w:jc w:val="center"/>
              <w:rPr>
                <w:b/>
                <w:bCs/>
                <w:sz w:val="22"/>
                <w:szCs w:val="22"/>
              </w:rPr>
            </w:pPr>
            <w:r w:rsidRPr="00A124C2">
              <w:rPr>
                <w:sz w:val="22"/>
                <w:szCs w:val="22"/>
              </w:rPr>
              <w:t>3</w:t>
            </w:r>
          </w:p>
        </w:tc>
      </w:tr>
      <w:tr w:rsidR="000200FC" w:rsidRPr="00A124C2" w14:paraId="13CE510F" w14:textId="77777777" w:rsidTr="00067055">
        <w:trPr>
          <w:trHeight w:val="495"/>
        </w:trPr>
        <w:tc>
          <w:tcPr>
            <w:tcW w:w="746" w:type="pct"/>
            <w:vAlign w:val="center"/>
          </w:tcPr>
          <w:p w14:paraId="44C136DB" w14:textId="253D6ABF" w:rsidR="000200FC" w:rsidRPr="00A124C2" w:rsidRDefault="000200FC" w:rsidP="00C11138">
            <w:pPr>
              <w:jc w:val="center"/>
              <w:rPr>
                <w:sz w:val="22"/>
                <w:szCs w:val="22"/>
              </w:rPr>
            </w:pPr>
            <w:r w:rsidRPr="00A124C2">
              <w:rPr>
                <w:color w:val="000000"/>
                <w:sz w:val="22"/>
                <w:szCs w:val="22"/>
              </w:rPr>
              <w:t>Broj aktivnosti vezanih uz jačanje kompetencija stručnih službi</w:t>
            </w:r>
          </w:p>
        </w:tc>
        <w:tc>
          <w:tcPr>
            <w:tcW w:w="649" w:type="pct"/>
            <w:noWrap/>
            <w:vAlign w:val="center"/>
          </w:tcPr>
          <w:p w14:paraId="5465BBD8" w14:textId="7CE6C4DE" w:rsidR="000200FC" w:rsidRPr="00A124C2" w:rsidRDefault="000200FC" w:rsidP="00C11138">
            <w:pPr>
              <w:jc w:val="center"/>
              <w:rPr>
                <w:sz w:val="22"/>
                <w:szCs w:val="22"/>
              </w:rPr>
            </w:pPr>
            <w:r w:rsidRPr="00A124C2">
              <w:rPr>
                <w:sz w:val="22"/>
                <w:szCs w:val="22"/>
              </w:rPr>
              <w:t>Broj provedenih edukacija</w:t>
            </w:r>
          </w:p>
        </w:tc>
        <w:tc>
          <w:tcPr>
            <w:tcW w:w="603" w:type="pct"/>
            <w:noWrap/>
            <w:vAlign w:val="center"/>
          </w:tcPr>
          <w:p w14:paraId="5DE43D7C" w14:textId="77777777" w:rsidR="000200FC" w:rsidRPr="00A124C2" w:rsidRDefault="000200FC" w:rsidP="00C11138">
            <w:pPr>
              <w:jc w:val="center"/>
              <w:rPr>
                <w:sz w:val="22"/>
                <w:szCs w:val="22"/>
              </w:rPr>
            </w:pPr>
            <w:r w:rsidRPr="00A124C2">
              <w:rPr>
                <w:sz w:val="22"/>
                <w:szCs w:val="22"/>
              </w:rPr>
              <w:t>Broj</w:t>
            </w:r>
          </w:p>
          <w:p w14:paraId="1817AD18" w14:textId="1CDDEE98" w:rsidR="000200FC" w:rsidRPr="00A124C2" w:rsidRDefault="000200FC" w:rsidP="00C11138">
            <w:pPr>
              <w:jc w:val="center"/>
              <w:rPr>
                <w:sz w:val="22"/>
                <w:szCs w:val="22"/>
              </w:rPr>
            </w:pPr>
          </w:p>
        </w:tc>
        <w:tc>
          <w:tcPr>
            <w:tcW w:w="575" w:type="pct"/>
            <w:noWrap/>
            <w:vAlign w:val="center"/>
          </w:tcPr>
          <w:p w14:paraId="5F582C89" w14:textId="53B764D2" w:rsidR="000200FC" w:rsidRPr="00A124C2" w:rsidRDefault="000200FC" w:rsidP="00C11138">
            <w:pPr>
              <w:jc w:val="center"/>
              <w:rPr>
                <w:sz w:val="22"/>
                <w:szCs w:val="22"/>
              </w:rPr>
            </w:pPr>
            <w:r w:rsidRPr="00A124C2">
              <w:rPr>
                <w:sz w:val="22"/>
                <w:szCs w:val="22"/>
              </w:rPr>
              <w:t>0</w:t>
            </w:r>
          </w:p>
        </w:tc>
        <w:tc>
          <w:tcPr>
            <w:tcW w:w="719" w:type="pct"/>
            <w:noWrap/>
            <w:vAlign w:val="center"/>
          </w:tcPr>
          <w:p w14:paraId="67143CAD" w14:textId="51813A1F" w:rsidR="000200FC" w:rsidRPr="00A124C2" w:rsidRDefault="000200FC" w:rsidP="00C11138">
            <w:pPr>
              <w:jc w:val="center"/>
              <w:rPr>
                <w:sz w:val="22"/>
                <w:szCs w:val="22"/>
              </w:rPr>
            </w:pPr>
            <w:r w:rsidRPr="00A124C2">
              <w:rPr>
                <w:sz w:val="22"/>
                <w:szCs w:val="22"/>
                <w:lang w:eastAsia="en-GB"/>
              </w:rPr>
              <w:t>Prodekan za poslovanje, infrastrukturu i projekte</w:t>
            </w:r>
          </w:p>
        </w:tc>
        <w:tc>
          <w:tcPr>
            <w:tcW w:w="533" w:type="pct"/>
            <w:noWrap/>
            <w:vAlign w:val="center"/>
          </w:tcPr>
          <w:p w14:paraId="0E68B921" w14:textId="38968133" w:rsidR="000200FC" w:rsidRPr="00A124C2" w:rsidRDefault="000200FC" w:rsidP="00C11138">
            <w:pPr>
              <w:jc w:val="center"/>
              <w:rPr>
                <w:sz w:val="22"/>
                <w:szCs w:val="22"/>
              </w:rPr>
            </w:pPr>
            <w:r w:rsidRPr="00A124C2">
              <w:rPr>
                <w:sz w:val="22"/>
                <w:szCs w:val="22"/>
              </w:rPr>
              <w:t>1</w:t>
            </w:r>
          </w:p>
        </w:tc>
        <w:tc>
          <w:tcPr>
            <w:tcW w:w="588" w:type="pct"/>
            <w:noWrap/>
            <w:vAlign w:val="center"/>
          </w:tcPr>
          <w:p w14:paraId="6292D943" w14:textId="4691F7DB" w:rsidR="000200FC" w:rsidRPr="00A124C2" w:rsidRDefault="000200FC" w:rsidP="00C11138">
            <w:pPr>
              <w:jc w:val="center"/>
              <w:rPr>
                <w:sz w:val="22"/>
                <w:szCs w:val="22"/>
              </w:rPr>
            </w:pPr>
            <w:r w:rsidRPr="00A124C2">
              <w:rPr>
                <w:sz w:val="22"/>
                <w:szCs w:val="22"/>
              </w:rPr>
              <w:t>2</w:t>
            </w:r>
          </w:p>
        </w:tc>
        <w:tc>
          <w:tcPr>
            <w:tcW w:w="587" w:type="pct"/>
            <w:noWrap/>
            <w:vAlign w:val="center"/>
          </w:tcPr>
          <w:p w14:paraId="36A5DAF9" w14:textId="362AFE47" w:rsidR="000200FC" w:rsidRPr="00A124C2" w:rsidRDefault="000200FC" w:rsidP="00C11138">
            <w:pPr>
              <w:jc w:val="center"/>
              <w:rPr>
                <w:sz w:val="22"/>
                <w:szCs w:val="22"/>
              </w:rPr>
            </w:pPr>
            <w:r w:rsidRPr="00A124C2">
              <w:rPr>
                <w:sz w:val="22"/>
                <w:szCs w:val="22"/>
              </w:rPr>
              <w:t>3</w:t>
            </w:r>
          </w:p>
        </w:tc>
      </w:tr>
      <w:tr w:rsidR="000200FC" w:rsidRPr="00A124C2" w14:paraId="62841BED" w14:textId="77777777" w:rsidTr="00067055">
        <w:trPr>
          <w:trHeight w:val="495"/>
        </w:trPr>
        <w:tc>
          <w:tcPr>
            <w:tcW w:w="746" w:type="pct"/>
            <w:vAlign w:val="center"/>
          </w:tcPr>
          <w:p w14:paraId="6413CD5E" w14:textId="01304991" w:rsidR="000200FC" w:rsidRPr="00A124C2" w:rsidRDefault="000200FC" w:rsidP="00C11138">
            <w:pPr>
              <w:jc w:val="center"/>
              <w:rPr>
                <w:color w:val="000000"/>
                <w:sz w:val="22"/>
                <w:szCs w:val="22"/>
              </w:rPr>
            </w:pPr>
            <w:r w:rsidRPr="00A124C2">
              <w:rPr>
                <w:bCs/>
                <w:sz w:val="22"/>
                <w:szCs w:val="22"/>
              </w:rPr>
              <w:t>Nabava novih računala, serverske i mrežne opreme te dodatnih IT komponenti</w:t>
            </w:r>
          </w:p>
        </w:tc>
        <w:tc>
          <w:tcPr>
            <w:tcW w:w="649" w:type="pct"/>
            <w:noWrap/>
            <w:vAlign w:val="center"/>
          </w:tcPr>
          <w:p w14:paraId="66BA683C" w14:textId="11D31733" w:rsidR="000200FC" w:rsidRPr="00A124C2" w:rsidRDefault="000200FC" w:rsidP="00C11138">
            <w:pPr>
              <w:jc w:val="center"/>
              <w:rPr>
                <w:sz w:val="22"/>
                <w:szCs w:val="22"/>
              </w:rPr>
            </w:pPr>
            <w:r w:rsidRPr="00A124C2">
              <w:rPr>
                <w:bCs/>
                <w:sz w:val="22"/>
                <w:szCs w:val="22"/>
              </w:rPr>
              <w:t>Količina novih računala, serverske i mrežne opreme te dodatnih IT komponenti</w:t>
            </w:r>
          </w:p>
        </w:tc>
        <w:tc>
          <w:tcPr>
            <w:tcW w:w="603" w:type="pct"/>
            <w:noWrap/>
            <w:vAlign w:val="center"/>
          </w:tcPr>
          <w:p w14:paraId="1B1B3AEE" w14:textId="77777777" w:rsidR="000200FC" w:rsidRPr="00A124C2" w:rsidRDefault="000200FC" w:rsidP="00C11138">
            <w:pPr>
              <w:jc w:val="center"/>
              <w:rPr>
                <w:sz w:val="22"/>
                <w:szCs w:val="22"/>
              </w:rPr>
            </w:pPr>
            <w:r w:rsidRPr="00A124C2">
              <w:rPr>
                <w:sz w:val="22"/>
                <w:szCs w:val="22"/>
              </w:rPr>
              <w:t>Broj</w:t>
            </w:r>
          </w:p>
          <w:p w14:paraId="183DC4E1" w14:textId="77777777" w:rsidR="000200FC" w:rsidRPr="00A124C2" w:rsidRDefault="000200FC" w:rsidP="00C11138">
            <w:pPr>
              <w:jc w:val="center"/>
              <w:rPr>
                <w:sz w:val="22"/>
                <w:szCs w:val="22"/>
              </w:rPr>
            </w:pPr>
          </w:p>
        </w:tc>
        <w:tc>
          <w:tcPr>
            <w:tcW w:w="575" w:type="pct"/>
            <w:noWrap/>
            <w:vAlign w:val="center"/>
          </w:tcPr>
          <w:p w14:paraId="14B6A19D" w14:textId="7EB07D1F" w:rsidR="000200FC" w:rsidRPr="00A124C2" w:rsidRDefault="000200FC" w:rsidP="00C11138">
            <w:pPr>
              <w:jc w:val="center"/>
              <w:rPr>
                <w:sz w:val="22"/>
                <w:szCs w:val="22"/>
              </w:rPr>
            </w:pPr>
            <w:r w:rsidRPr="00A124C2">
              <w:rPr>
                <w:sz w:val="22"/>
                <w:szCs w:val="22"/>
              </w:rPr>
              <w:t>0</w:t>
            </w:r>
          </w:p>
        </w:tc>
        <w:tc>
          <w:tcPr>
            <w:tcW w:w="719" w:type="pct"/>
            <w:noWrap/>
            <w:vAlign w:val="center"/>
          </w:tcPr>
          <w:p w14:paraId="3D62CE84" w14:textId="53BD0519" w:rsidR="000200FC" w:rsidRPr="00A124C2" w:rsidRDefault="000200FC" w:rsidP="00C11138">
            <w:pPr>
              <w:jc w:val="center"/>
              <w:rPr>
                <w:sz w:val="22"/>
                <w:szCs w:val="22"/>
                <w:lang w:eastAsia="en-GB"/>
              </w:rPr>
            </w:pPr>
            <w:r w:rsidRPr="00A124C2">
              <w:rPr>
                <w:sz w:val="22"/>
                <w:szCs w:val="22"/>
                <w:lang w:eastAsia="en-GB"/>
              </w:rPr>
              <w:t>Prodekan za poslovanje, infrastrukturu i projekte</w:t>
            </w:r>
          </w:p>
        </w:tc>
        <w:tc>
          <w:tcPr>
            <w:tcW w:w="533" w:type="pct"/>
            <w:noWrap/>
            <w:vAlign w:val="center"/>
          </w:tcPr>
          <w:p w14:paraId="12996690" w14:textId="79D0D5A6" w:rsidR="000200FC" w:rsidRPr="00A124C2" w:rsidRDefault="000200FC" w:rsidP="00C11138">
            <w:pPr>
              <w:jc w:val="center"/>
              <w:rPr>
                <w:sz w:val="22"/>
                <w:szCs w:val="22"/>
              </w:rPr>
            </w:pPr>
            <w:r w:rsidRPr="00A124C2">
              <w:rPr>
                <w:sz w:val="22"/>
                <w:szCs w:val="22"/>
              </w:rPr>
              <w:t>5</w:t>
            </w:r>
          </w:p>
        </w:tc>
        <w:tc>
          <w:tcPr>
            <w:tcW w:w="588" w:type="pct"/>
            <w:noWrap/>
            <w:vAlign w:val="center"/>
          </w:tcPr>
          <w:p w14:paraId="2200562A" w14:textId="5221C394" w:rsidR="000200FC" w:rsidRPr="00A124C2" w:rsidRDefault="000200FC" w:rsidP="00C11138">
            <w:pPr>
              <w:jc w:val="center"/>
              <w:rPr>
                <w:sz w:val="22"/>
                <w:szCs w:val="22"/>
              </w:rPr>
            </w:pPr>
            <w:r w:rsidRPr="00A124C2">
              <w:rPr>
                <w:sz w:val="22"/>
                <w:szCs w:val="22"/>
              </w:rPr>
              <w:t>7</w:t>
            </w:r>
          </w:p>
        </w:tc>
        <w:tc>
          <w:tcPr>
            <w:tcW w:w="587" w:type="pct"/>
            <w:noWrap/>
            <w:vAlign w:val="center"/>
          </w:tcPr>
          <w:p w14:paraId="01F6576A" w14:textId="12E774E3" w:rsidR="000200FC" w:rsidRPr="00A124C2" w:rsidRDefault="000200FC" w:rsidP="00C11138">
            <w:pPr>
              <w:jc w:val="center"/>
              <w:rPr>
                <w:sz w:val="22"/>
                <w:szCs w:val="22"/>
              </w:rPr>
            </w:pPr>
            <w:r w:rsidRPr="00A124C2">
              <w:rPr>
                <w:sz w:val="22"/>
                <w:szCs w:val="22"/>
              </w:rPr>
              <w:t>9</w:t>
            </w:r>
          </w:p>
        </w:tc>
      </w:tr>
    </w:tbl>
    <w:p w14:paraId="6D69ECD4" w14:textId="77777777" w:rsidR="000200FC" w:rsidRPr="00A124C2" w:rsidRDefault="000200FC" w:rsidP="00C11138">
      <w:pPr>
        <w:spacing w:after="160"/>
        <w:jc w:val="both"/>
        <w:rPr>
          <w:bCs/>
        </w:rPr>
      </w:pPr>
    </w:p>
    <w:p w14:paraId="7846B3D0" w14:textId="77777777" w:rsidR="000200FC" w:rsidRPr="00A124C2" w:rsidRDefault="000200FC" w:rsidP="00C11138">
      <w:pPr>
        <w:jc w:val="both"/>
        <w:rPr>
          <w:b/>
          <w:bCs/>
        </w:rPr>
      </w:pPr>
    </w:p>
    <w:p w14:paraId="3F8C6D13" w14:textId="77777777" w:rsidR="00272EE4" w:rsidRPr="00A124C2" w:rsidRDefault="00272EE4" w:rsidP="00C11138">
      <w:pPr>
        <w:spacing w:after="160"/>
        <w:rPr>
          <w:b/>
          <w:bCs/>
        </w:rPr>
      </w:pPr>
      <w:r w:rsidRPr="00A124C2">
        <w:rPr>
          <w:b/>
          <w:bCs/>
        </w:rPr>
        <w:lastRenderedPageBreak/>
        <w:t>IZVJEŠTAJ O POSTIGNUTIM CILJEVIMA</w:t>
      </w:r>
    </w:p>
    <w:p w14:paraId="09415590" w14:textId="482AF9F1" w:rsidR="00272EE4" w:rsidRPr="00A124C2" w:rsidRDefault="00272EE4" w:rsidP="00C11138">
      <w:pPr>
        <w:spacing w:before="100" w:beforeAutospacing="1" w:after="100" w:afterAutospacing="1"/>
        <w:jc w:val="both"/>
      </w:pPr>
      <w:r w:rsidRPr="00A124C2">
        <w:rPr>
          <w:b/>
          <w:bCs/>
        </w:rPr>
        <w:t xml:space="preserve">Broj studenata koji su u prethodnoj akademskoj godini stekli minimalno 55 ECTS bodova (uspješnost studiranja) – </w:t>
      </w:r>
      <w:r w:rsidRPr="00A124C2">
        <w:t>u akademskoj godini 202</w:t>
      </w:r>
      <w:r w:rsidR="005A187C" w:rsidRPr="00A124C2">
        <w:t>4</w:t>
      </w:r>
      <w:r w:rsidRPr="00A124C2">
        <w:t>./202</w:t>
      </w:r>
      <w:r w:rsidR="005A187C" w:rsidRPr="00A124C2">
        <w:t>5</w:t>
      </w:r>
      <w:r w:rsidRPr="00A124C2">
        <w:t>. do dana 30. rujna 202</w:t>
      </w:r>
      <w:r w:rsidR="00E5092A" w:rsidRPr="00A124C2">
        <w:t>5</w:t>
      </w:r>
      <w:r w:rsidRPr="00A124C2">
        <w:t xml:space="preserve">.g. na Stomatološkom fakultetu u Zagrebu </w:t>
      </w:r>
      <w:r w:rsidR="00BE2F18" w:rsidRPr="00A124C2">
        <w:t xml:space="preserve">na integriranom preddiplomskom i postdiplomskom studiju Dentalna medicina (na hrvatskom) i Dental medicine (na engleskom) </w:t>
      </w:r>
      <w:r w:rsidRPr="00A124C2">
        <w:t xml:space="preserve">upisano je ukupno </w:t>
      </w:r>
      <w:r w:rsidR="00BE2F18" w:rsidRPr="00A124C2">
        <w:t>65</w:t>
      </w:r>
      <w:r w:rsidR="00E5092A" w:rsidRPr="00A124C2">
        <w:t>3</w:t>
      </w:r>
      <w:r w:rsidRPr="00A124C2">
        <w:t xml:space="preserve"> studenta, a od toga broja je </w:t>
      </w:r>
      <w:r w:rsidR="00BE2F18" w:rsidRPr="00A124C2">
        <w:t>5</w:t>
      </w:r>
      <w:r w:rsidR="00E5092A" w:rsidRPr="00A124C2">
        <w:t>38</w:t>
      </w:r>
      <w:r w:rsidRPr="00A124C2">
        <w:t xml:space="preserve"> studenata (</w:t>
      </w:r>
      <w:r w:rsidR="00BE2F18" w:rsidRPr="00A124C2">
        <w:t>8</w:t>
      </w:r>
      <w:r w:rsidR="00E5092A" w:rsidRPr="00A124C2">
        <w:t>2</w:t>
      </w:r>
      <w:r w:rsidR="00BE2F18" w:rsidRPr="00A124C2">
        <w:t>,3</w:t>
      </w:r>
      <w:r w:rsidR="00E5092A" w:rsidRPr="00A124C2">
        <w:t>4</w:t>
      </w:r>
      <w:r w:rsidRPr="00A124C2">
        <w:t>%) steklo više od 55 ECTS bodova</w:t>
      </w:r>
      <w:r w:rsidR="00E5092A" w:rsidRPr="00A124C2">
        <w:t>.</w:t>
      </w:r>
    </w:p>
    <w:p w14:paraId="2A7C18C1" w14:textId="219826F0" w:rsidR="00272EE4" w:rsidRPr="00A124C2" w:rsidRDefault="00272EE4" w:rsidP="00C11138">
      <w:pPr>
        <w:spacing w:before="100" w:beforeAutospacing="1" w:after="100" w:afterAutospacing="1"/>
        <w:jc w:val="both"/>
        <w:rPr>
          <w:lang w:val="en-US"/>
        </w:rPr>
      </w:pPr>
      <w:r w:rsidRPr="00A124C2">
        <w:rPr>
          <w:b/>
          <w:bCs/>
        </w:rPr>
        <w:t>Omjer broja završenih studenata u akademskoj godini i broja studenata upisanih u prvu godinu te akademske godine –</w:t>
      </w:r>
      <w:r w:rsidR="00B2130D" w:rsidRPr="00A124C2">
        <w:rPr>
          <w:b/>
          <w:bCs/>
        </w:rPr>
        <w:t xml:space="preserve"> </w:t>
      </w:r>
      <w:r w:rsidRPr="00A124C2">
        <w:t xml:space="preserve">Stomatološki fakultet u Zagrebu upisuje na prvu godina integriranog studija dentalna medicina na hrvatskom </w:t>
      </w:r>
      <w:r w:rsidR="00E5092A" w:rsidRPr="00A124C2">
        <w:t xml:space="preserve">i engleskom </w:t>
      </w:r>
      <w:r w:rsidRPr="00A124C2">
        <w:t>jeziku</w:t>
      </w:r>
      <w:r w:rsidR="00A80EAF" w:rsidRPr="00A124C2">
        <w:t xml:space="preserve"> </w:t>
      </w:r>
      <w:r w:rsidR="00E5092A" w:rsidRPr="00A124C2">
        <w:t>uključujući i</w:t>
      </w:r>
      <w:r w:rsidR="00A80EAF" w:rsidRPr="00A124C2">
        <w:t xml:space="preserve"> ponavljač</w:t>
      </w:r>
      <w:r w:rsidR="00E5092A" w:rsidRPr="00A124C2">
        <w:t>e</w:t>
      </w:r>
      <w:r w:rsidR="00A80EAF" w:rsidRPr="00A124C2">
        <w:t>, što ukupno iznosi</w:t>
      </w:r>
      <w:r w:rsidRPr="00A124C2">
        <w:t xml:space="preserve"> </w:t>
      </w:r>
      <w:r w:rsidR="00E5092A" w:rsidRPr="00A124C2">
        <w:t xml:space="preserve">108 </w:t>
      </w:r>
      <w:r w:rsidRPr="00A124C2">
        <w:t>studenata</w:t>
      </w:r>
      <w:r w:rsidR="00A80EAF" w:rsidRPr="00A124C2">
        <w:t xml:space="preserve"> </w:t>
      </w:r>
      <w:r w:rsidRPr="00A124C2">
        <w:t>upisan</w:t>
      </w:r>
      <w:r w:rsidR="00A80EAF" w:rsidRPr="00A124C2">
        <w:t>ih</w:t>
      </w:r>
      <w:r w:rsidRPr="00A124C2">
        <w:t xml:space="preserve"> u akademsku godinu </w:t>
      </w:r>
      <w:r w:rsidR="00E5092A" w:rsidRPr="00A124C2">
        <w:t>2024</w:t>
      </w:r>
      <w:r w:rsidRPr="00A124C2">
        <w:t>./2</w:t>
      </w:r>
      <w:r w:rsidR="00E5092A" w:rsidRPr="00A124C2">
        <w:t>5</w:t>
      </w:r>
      <w:r w:rsidRPr="00A124C2">
        <w:t>. Akademske godine 202</w:t>
      </w:r>
      <w:r w:rsidR="00E5092A" w:rsidRPr="00A124C2">
        <w:t>4</w:t>
      </w:r>
      <w:r w:rsidRPr="00A124C2">
        <w:t>./2</w:t>
      </w:r>
      <w:r w:rsidR="00E5092A" w:rsidRPr="00A124C2">
        <w:t>5</w:t>
      </w:r>
      <w:r w:rsidRPr="00A124C2">
        <w:t xml:space="preserve">. </w:t>
      </w:r>
      <w:r w:rsidR="008A4752" w:rsidRPr="00A124C2">
        <w:t>diplomiralo je do 30. rujna 2025</w:t>
      </w:r>
      <w:r w:rsidRPr="00A124C2">
        <w:t>.g., ukupno </w:t>
      </w:r>
      <w:r w:rsidR="00A80EAF" w:rsidRPr="00A124C2">
        <w:t>1</w:t>
      </w:r>
      <w:r w:rsidR="00E5092A" w:rsidRPr="00A124C2">
        <w:t>1</w:t>
      </w:r>
      <w:r w:rsidR="00A80EAF" w:rsidRPr="00A124C2">
        <w:t>0</w:t>
      </w:r>
      <w:r w:rsidR="00B2130D" w:rsidRPr="00A124C2">
        <w:t xml:space="preserve"> studenata</w:t>
      </w:r>
      <w:r w:rsidRPr="00A124C2">
        <w:t xml:space="preserve"> što </w:t>
      </w:r>
      <w:proofErr w:type="spellStart"/>
      <w:r w:rsidRPr="00A124C2">
        <w:t>srazmjer</w:t>
      </w:r>
      <w:proofErr w:type="spellEnd"/>
      <w:r w:rsidRPr="00A124C2">
        <w:t xml:space="preserve"> broja </w:t>
      </w:r>
      <w:proofErr w:type="spellStart"/>
      <w:r w:rsidR="00B2130D" w:rsidRPr="00A124C2">
        <w:t>prvo</w:t>
      </w:r>
      <w:r w:rsidRPr="00A124C2">
        <w:t>upisanih</w:t>
      </w:r>
      <w:proofErr w:type="spellEnd"/>
      <w:r w:rsidRPr="00A124C2">
        <w:t xml:space="preserve"> i diplomiranih studenata  čini </w:t>
      </w:r>
      <w:r w:rsidR="00E5092A" w:rsidRPr="00A124C2">
        <w:t>98</w:t>
      </w:r>
      <w:r w:rsidR="00B2130D" w:rsidRPr="00A124C2">
        <w:t>,</w:t>
      </w:r>
      <w:r w:rsidR="00E5092A" w:rsidRPr="00A124C2">
        <w:t>18</w:t>
      </w:r>
      <w:r w:rsidRPr="00A124C2">
        <w:t>%</w:t>
      </w:r>
      <w:r w:rsidR="000D5300" w:rsidRPr="00A124C2">
        <w:t>.</w:t>
      </w:r>
    </w:p>
    <w:p w14:paraId="75CE7ABA" w14:textId="77777777" w:rsidR="0029319E" w:rsidRPr="00A124C2" w:rsidRDefault="0029319E" w:rsidP="00C11138">
      <w:pPr>
        <w:jc w:val="both"/>
      </w:pPr>
      <w:r w:rsidRPr="00A124C2">
        <w:rPr>
          <w:b/>
        </w:rPr>
        <w:t>Broj studenata uključenih u ankete o kvaliteti nastave</w:t>
      </w:r>
      <w:r w:rsidRPr="00A124C2">
        <w:t xml:space="preserve"> - u akademskoj godini 2024./2025. do dana 29. rujna 2025.g. na Stomatološkom fakultetu u Zagrebu izvršene su 2 online ankete studenata o kvaliteti nastave na svih 6 godina studija za sve obvezatne i izborne kolegije. Ukupno je sudjelovalo 326 studenata, odnosno 58 %.</w:t>
      </w:r>
    </w:p>
    <w:p w14:paraId="7F2ACC3A" w14:textId="77777777" w:rsidR="00272EE4" w:rsidRPr="00A124C2" w:rsidRDefault="00272EE4" w:rsidP="00C11138">
      <w:pPr>
        <w:jc w:val="both"/>
      </w:pPr>
    </w:p>
    <w:p w14:paraId="10107F43" w14:textId="08EC2D7E" w:rsidR="008565E1" w:rsidRPr="00A124C2" w:rsidRDefault="00343B41" w:rsidP="00C11138">
      <w:pPr>
        <w:jc w:val="both"/>
      </w:pPr>
      <w:r w:rsidRPr="00A124C2">
        <w:rPr>
          <w:b/>
          <w:bCs/>
        </w:rPr>
        <w:t>Znanstveno – istraživačka djelatnost</w:t>
      </w:r>
      <w:r w:rsidRPr="00A124C2" w:rsidDel="00343B41">
        <w:rPr>
          <w:b/>
          <w:bCs/>
        </w:rPr>
        <w:t xml:space="preserve"> </w:t>
      </w:r>
      <w:r w:rsidR="00272EE4" w:rsidRPr="00A124C2">
        <w:rPr>
          <w:b/>
          <w:bCs/>
        </w:rPr>
        <w:t xml:space="preserve">– </w:t>
      </w:r>
      <w:r w:rsidR="008565E1" w:rsidRPr="00A124C2">
        <w:t xml:space="preserve">nastavnici i studenti Stomatološkog fakulteta objavljuju rezultate svojih znanstvenih istraživanja i u prestižnim svjetskim časopisima indeksiranim u bazi Web </w:t>
      </w:r>
      <w:proofErr w:type="spellStart"/>
      <w:r w:rsidR="008565E1" w:rsidRPr="00A124C2">
        <w:t>of</w:t>
      </w:r>
      <w:proofErr w:type="spellEnd"/>
      <w:r w:rsidR="008565E1" w:rsidRPr="00A124C2">
        <w:t xml:space="preserve"> Science. Dio tih radova proizašao je i iz međunarodne suradnje – sa znanstvenicima iz drugih zemalja. Tako je u ovoj 202</w:t>
      </w:r>
      <w:r w:rsidR="008A4752" w:rsidRPr="00A124C2">
        <w:t>5</w:t>
      </w:r>
      <w:r w:rsidR="008565E1" w:rsidRPr="00A124C2">
        <w:t xml:space="preserve">. godini do izrade ovog izvještaja, objavljeno ukupno 158 radova u časopisima citiranim u </w:t>
      </w:r>
      <w:proofErr w:type="spellStart"/>
      <w:r w:rsidR="008565E1" w:rsidRPr="00A124C2">
        <w:t>WoS</w:t>
      </w:r>
      <w:proofErr w:type="spellEnd"/>
      <w:r w:rsidR="008565E1" w:rsidRPr="00A124C2">
        <w:t xml:space="preserve">-u, te 37 radova u koautorstvu s inozemnim autorima. </w:t>
      </w:r>
      <w:r w:rsidR="008A4752" w:rsidRPr="00A124C2">
        <w:t>Prvo autorstvo u 2025</w:t>
      </w:r>
      <w:r w:rsidR="008565E1" w:rsidRPr="00A124C2">
        <w:t>. godini imalo je 27 naših nastavnika pri čemu su bili prvi autori na 45 radova (neki više prvih autor</w:t>
      </w:r>
      <w:r w:rsidR="008A4752" w:rsidRPr="00A124C2">
        <w:t>stava). Dopisno autorstvo u 2025</w:t>
      </w:r>
      <w:r w:rsidR="008565E1" w:rsidRPr="00A124C2">
        <w:t xml:space="preserve">. godini imao je 41 naš nastavnik pri čemu su bili dopisni autori na 73 rada (neki više dopisnih autorstava). Od ukupnog broja 158 radova (128 u </w:t>
      </w:r>
      <w:proofErr w:type="spellStart"/>
      <w:r w:rsidR="008565E1" w:rsidRPr="00A124C2">
        <w:t>WoS</w:t>
      </w:r>
      <w:proofErr w:type="spellEnd"/>
      <w:r w:rsidR="008565E1" w:rsidRPr="00A124C2">
        <w:t xml:space="preserve"> SCIE te 30 i </w:t>
      </w:r>
      <w:proofErr w:type="spellStart"/>
      <w:r w:rsidR="008565E1" w:rsidRPr="00A124C2">
        <w:t>WoS</w:t>
      </w:r>
      <w:proofErr w:type="spellEnd"/>
      <w:r w:rsidR="008565E1" w:rsidRPr="00A124C2">
        <w:t xml:space="preserve"> ESCI/ostale baze) na kojima su naši nastavnici sudjelovali kao autor/koautori, u </w:t>
      </w:r>
      <w:proofErr w:type="spellStart"/>
      <w:r w:rsidR="008565E1" w:rsidRPr="00A124C2">
        <w:t>WoS</w:t>
      </w:r>
      <w:proofErr w:type="spellEnd"/>
      <w:r w:rsidR="008565E1" w:rsidRPr="00A124C2">
        <w:t xml:space="preserve"> SCIE bazi od 128 radova 92 rada indeksirana su u Q1 časopisima, 24 u Q2, 11 u Q3, a 1 u Q4. U </w:t>
      </w:r>
      <w:proofErr w:type="spellStart"/>
      <w:r w:rsidR="008565E1" w:rsidRPr="00A124C2">
        <w:t>WoS</w:t>
      </w:r>
      <w:proofErr w:type="spellEnd"/>
      <w:r w:rsidR="008565E1" w:rsidRPr="00A124C2">
        <w:t xml:space="preserve"> ESCI bazi objavljeno je 30 radova, od toga 1 u Q1, 9 u Q2, 14 u Q3 i 6 u Q4. Na Fakultetu su trenutno aktivna 4 nacionalna projekta (HRZZ), od toga dva istraživačka te dva projekta razvoja karijera mladih istraživača, no nažalost, niti jedan međunarodni. Doktorandi koji su zaposleni na Stomatološkom fakultetu te čija je plaća financirana HRZZ projektima su baza znanstvenog rada te smatramo da je njihov broj znakovit po</w:t>
      </w:r>
      <w:r w:rsidR="000F3D6C" w:rsidRPr="00A124C2">
        <w:t xml:space="preserve">kazatelj znanstvene aktivnosti. </w:t>
      </w:r>
      <w:r w:rsidR="008565E1" w:rsidRPr="00A124C2">
        <w:rPr>
          <w:iCs/>
          <w:lang w:eastAsia="hr-HR"/>
        </w:rPr>
        <w:t>Trenutno imamo</w:t>
      </w:r>
      <w:r w:rsidR="008565E1" w:rsidRPr="00A124C2">
        <w:t xml:space="preserve"> </w:t>
      </w:r>
      <w:r w:rsidR="000F3D6C" w:rsidRPr="00A124C2">
        <w:t>pet</w:t>
      </w:r>
      <w:r w:rsidR="008565E1" w:rsidRPr="00A124C2">
        <w:t xml:space="preserve"> </w:t>
      </w:r>
      <w:r w:rsidR="008565E1" w:rsidRPr="00A124C2">
        <w:rPr>
          <w:iCs/>
          <w:lang w:eastAsia="hr-HR"/>
        </w:rPr>
        <w:t>zaposlenika koji su završili doktorski studij te prešli s financiranja HRZZ na financiranje od strane Stomatološkog fakulteta.</w:t>
      </w:r>
    </w:p>
    <w:p w14:paraId="4C588C13" w14:textId="77777777" w:rsidR="00121F64" w:rsidRPr="00A124C2" w:rsidRDefault="00121F64" w:rsidP="00C11138">
      <w:pPr>
        <w:jc w:val="both"/>
        <w:rPr>
          <w:b/>
          <w:bCs/>
        </w:rPr>
      </w:pPr>
    </w:p>
    <w:p w14:paraId="2793FD74" w14:textId="77777777" w:rsidR="00583D6B" w:rsidRPr="00A124C2" w:rsidRDefault="00583D6B" w:rsidP="00C1113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cs="Times New Roman"/>
          <w:sz w:val="24"/>
          <w:szCs w:val="24"/>
        </w:rPr>
      </w:pPr>
      <w:r w:rsidRPr="00A124C2">
        <w:rPr>
          <w:rFonts w:cs="Times New Roman"/>
          <w:b/>
          <w:bCs/>
          <w:sz w:val="24"/>
          <w:szCs w:val="24"/>
        </w:rPr>
        <w:t>Uskladiti ponudu i programe sveučilišnih specijalističkih studija na Stomatološkom fakultetu Sveučilišta u Zagrebu</w:t>
      </w:r>
      <w:r w:rsidRPr="00A124C2">
        <w:rPr>
          <w:rFonts w:cs="Times New Roman"/>
          <w:sz w:val="24"/>
          <w:szCs w:val="24"/>
        </w:rPr>
        <w:t xml:space="preserve"> – od 2019. do 2023. godine osmišljeno je i uvedeno pet novih specijalističkih </w:t>
      </w:r>
      <w:proofErr w:type="spellStart"/>
      <w:r w:rsidRPr="00A124C2">
        <w:rPr>
          <w:rFonts w:cs="Times New Roman"/>
          <w:sz w:val="24"/>
          <w:szCs w:val="24"/>
        </w:rPr>
        <w:t>specijalističkih</w:t>
      </w:r>
      <w:proofErr w:type="spellEnd"/>
      <w:r w:rsidRPr="00A124C2">
        <w:rPr>
          <w:rFonts w:cs="Times New Roman"/>
          <w:sz w:val="24"/>
          <w:szCs w:val="24"/>
        </w:rPr>
        <w:t xml:space="preserve"> studija: „Dentalna </w:t>
      </w:r>
      <w:proofErr w:type="spellStart"/>
      <w:r w:rsidRPr="00A124C2">
        <w:rPr>
          <w:rFonts w:cs="Times New Roman"/>
          <w:sz w:val="24"/>
          <w:szCs w:val="24"/>
        </w:rPr>
        <w:t>implantologija</w:t>
      </w:r>
      <w:proofErr w:type="spellEnd"/>
      <w:r w:rsidRPr="00A124C2">
        <w:rPr>
          <w:rFonts w:cs="Times New Roman"/>
          <w:sz w:val="24"/>
          <w:szCs w:val="24"/>
          <w:rtl/>
          <w:lang w:val="ar-SA"/>
        </w:rPr>
        <w:t>“</w:t>
      </w:r>
      <w:r w:rsidRPr="00A124C2">
        <w:rPr>
          <w:rFonts w:cs="Times New Roman"/>
          <w:sz w:val="24"/>
          <w:szCs w:val="24"/>
        </w:rPr>
        <w:t>, „Dentalno-medicinski turizam</w:t>
      </w:r>
      <w:r w:rsidRPr="00A124C2">
        <w:rPr>
          <w:rFonts w:cs="Times New Roman"/>
          <w:sz w:val="24"/>
          <w:szCs w:val="24"/>
          <w:rtl/>
          <w:lang w:val="ar-SA"/>
        </w:rPr>
        <w:t>“</w:t>
      </w:r>
      <w:r w:rsidRPr="00A124C2">
        <w:rPr>
          <w:rFonts w:cs="Times New Roman"/>
          <w:sz w:val="24"/>
          <w:szCs w:val="24"/>
        </w:rPr>
        <w:t>, „Protetika dentalne medicine</w:t>
      </w:r>
      <w:r w:rsidRPr="00A124C2">
        <w:rPr>
          <w:rFonts w:cs="Times New Roman"/>
          <w:sz w:val="24"/>
          <w:szCs w:val="24"/>
          <w:rtl/>
          <w:lang w:val="ar-SA"/>
        </w:rPr>
        <w:t>“</w:t>
      </w:r>
      <w:r w:rsidRPr="00A124C2">
        <w:rPr>
          <w:rFonts w:cs="Times New Roman"/>
          <w:sz w:val="24"/>
          <w:szCs w:val="24"/>
        </w:rPr>
        <w:t>,</w:t>
      </w:r>
      <w:r w:rsidRPr="00A124C2">
        <w:rPr>
          <w:rFonts w:cs="Times New Roman"/>
          <w:sz w:val="22"/>
          <w:szCs w:val="22"/>
        </w:rPr>
        <w:t xml:space="preserve"> </w:t>
      </w:r>
      <w:r w:rsidRPr="00A124C2">
        <w:rPr>
          <w:rFonts w:cs="Times New Roman"/>
          <w:sz w:val="24"/>
          <w:szCs w:val="24"/>
        </w:rPr>
        <w:t>„Endodoncija i restaurativna dentalna medicina</w:t>
      </w:r>
      <w:r w:rsidRPr="00A124C2">
        <w:rPr>
          <w:rFonts w:cs="Times New Roman"/>
          <w:sz w:val="24"/>
          <w:szCs w:val="24"/>
          <w:lang w:val="de-DE"/>
        </w:rPr>
        <w:t xml:space="preserve">“ </w:t>
      </w:r>
      <w:r w:rsidRPr="00A124C2">
        <w:rPr>
          <w:rFonts w:cs="Times New Roman"/>
          <w:sz w:val="24"/>
          <w:szCs w:val="24"/>
        </w:rPr>
        <w:t xml:space="preserve">i „Estetika </w:t>
      </w:r>
      <w:proofErr w:type="spellStart"/>
      <w:r w:rsidRPr="00A124C2">
        <w:rPr>
          <w:rFonts w:cs="Times New Roman"/>
          <w:sz w:val="24"/>
          <w:szCs w:val="24"/>
        </w:rPr>
        <w:t>orofacijalne</w:t>
      </w:r>
      <w:proofErr w:type="spellEnd"/>
      <w:r w:rsidRPr="00A124C2">
        <w:rPr>
          <w:rFonts w:cs="Times New Roman"/>
          <w:sz w:val="24"/>
          <w:szCs w:val="24"/>
        </w:rPr>
        <w:t xml:space="preserve"> regije</w:t>
      </w:r>
      <w:r w:rsidRPr="00A124C2">
        <w:rPr>
          <w:rFonts w:cs="Times New Roman"/>
          <w:sz w:val="24"/>
          <w:szCs w:val="24"/>
          <w:lang w:val="de-DE"/>
        </w:rPr>
        <w:t xml:space="preserve">“ </w:t>
      </w:r>
      <w:r w:rsidRPr="00A124C2">
        <w:rPr>
          <w:rFonts w:cs="Times New Roman"/>
          <w:sz w:val="24"/>
          <w:szCs w:val="24"/>
        </w:rPr>
        <w:t>za koje su i ishođene dopusnice Ministarstva znanosti i obrazovanja, tako da na Stomatološkom fakultetu Sveučilišta u Zagrebu trenutno postoji š</w:t>
      </w:r>
      <w:r w:rsidRPr="00A124C2">
        <w:rPr>
          <w:rFonts w:cs="Times New Roman"/>
          <w:sz w:val="24"/>
          <w:szCs w:val="24"/>
          <w:lang w:val="fr-FR"/>
        </w:rPr>
        <w:t xml:space="preserve">est </w:t>
      </w:r>
      <w:r w:rsidRPr="00A124C2">
        <w:rPr>
          <w:rFonts w:cs="Times New Roman"/>
          <w:sz w:val="24"/>
          <w:szCs w:val="24"/>
        </w:rPr>
        <w:t>sveučilišnih specijalističkih studija (računajući i još uvijek aktivni studij „Dentalna medicina</w:t>
      </w:r>
      <w:r w:rsidRPr="00A124C2">
        <w:rPr>
          <w:rFonts w:cs="Times New Roman"/>
          <w:sz w:val="24"/>
          <w:szCs w:val="24"/>
          <w:lang w:val="de-DE"/>
        </w:rPr>
        <w:t xml:space="preserve">“ </w:t>
      </w:r>
      <w:r w:rsidRPr="00A124C2">
        <w:rPr>
          <w:rFonts w:cs="Times New Roman"/>
          <w:sz w:val="24"/>
          <w:szCs w:val="24"/>
        </w:rPr>
        <w:t>pokrenut još 2007. godine).</w:t>
      </w:r>
    </w:p>
    <w:p w14:paraId="736F14B8" w14:textId="75C81D5C" w:rsidR="00583D6B" w:rsidRDefault="00583D6B" w:rsidP="00C1113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cs="Times New Roman"/>
          <w:sz w:val="24"/>
          <w:szCs w:val="24"/>
        </w:rPr>
      </w:pPr>
      <w:r w:rsidRPr="00A124C2">
        <w:rPr>
          <w:rFonts w:cs="Times New Roman"/>
          <w:sz w:val="24"/>
          <w:szCs w:val="24"/>
        </w:rPr>
        <w:t>S obzirom na kontinuirani razvoj struke, osobito u tehnološkom smislu, u pripremi su novi sveučilišni specijalistički studiji koji bi bili povezani s novim planom specijalizacija najavljenim od Ministarstva zdravstva. Osim toga, predviđeni su i novi sveučilišni specijalistički studiji iz područja digitalne dentalne medicine.</w:t>
      </w:r>
    </w:p>
    <w:p w14:paraId="191B5746" w14:textId="77777777" w:rsidR="00D04E34" w:rsidRPr="00A124C2" w:rsidRDefault="00D04E34" w:rsidP="00C1113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cs="Times New Roman"/>
          <w:sz w:val="24"/>
          <w:szCs w:val="24"/>
        </w:rPr>
      </w:pPr>
    </w:p>
    <w:p w14:paraId="077ABEEC" w14:textId="77777777" w:rsidR="00583D6B" w:rsidRPr="00A124C2" w:rsidRDefault="00583D6B" w:rsidP="00C1113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cs="Times New Roman"/>
          <w:sz w:val="24"/>
          <w:szCs w:val="24"/>
        </w:rPr>
      </w:pPr>
    </w:p>
    <w:p w14:paraId="0AFB22C1" w14:textId="3BF344B9" w:rsidR="00583D6B" w:rsidRPr="00A124C2" w:rsidRDefault="00583D6B" w:rsidP="00C11138">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jc w:val="both"/>
        <w:rPr>
          <w:rFonts w:cs="Times New Roman"/>
        </w:rPr>
      </w:pPr>
      <w:r w:rsidRPr="00A124C2">
        <w:rPr>
          <w:rFonts w:cs="Times New Roman"/>
          <w:b/>
          <w:bCs/>
          <w:sz w:val="24"/>
          <w:szCs w:val="24"/>
        </w:rPr>
        <w:lastRenderedPageBreak/>
        <w:t>Podizanje indeksa uspješnosti programa cjeloživotnog obrazovanja u organizaciji Stomatološkog fakulteta Sveučilišta u Zagrebu</w:t>
      </w:r>
      <w:r w:rsidR="000F3D6C" w:rsidRPr="00A124C2">
        <w:rPr>
          <w:rFonts w:cs="Times New Roman"/>
          <w:sz w:val="24"/>
          <w:szCs w:val="24"/>
        </w:rPr>
        <w:t xml:space="preserve"> - za 2025</w:t>
      </w:r>
      <w:r w:rsidRPr="00A124C2">
        <w:rPr>
          <w:rFonts w:cs="Times New Roman"/>
          <w:sz w:val="24"/>
          <w:szCs w:val="24"/>
        </w:rPr>
        <w:t>. godinu ciljana vrijednost prosječnog indeksa uspješnosti programa cjeloživotnog obrazovanja u organizaciji Stomatološkog fakulteta Sveučilišta u Zagrebu bila je 90 bodova. Od programa cjeloživotnog obrazovanja na Stomatološkom fakultetu u Zagrebu najvećim se dijelom održavaju radni tečajevi s izravnim angažmanom svih sudionika. U 2025. godini je ostvaren porast u dobiti i anketama sudionika, ali izračun bodova se nije radio zbog usklade s novim Pravilnikom o cjeloživotnom obrazovanju koji je u fazi odobravanja. U planu je daljnje unapređenje i povećanje uspješnosti cjeloživotnog obrazovanja.</w:t>
      </w:r>
    </w:p>
    <w:p w14:paraId="0AC25770" w14:textId="77777777" w:rsidR="00583D6B" w:rsidRPr="00A124C2" w:rsidRDefault="00583D6B" w:rsidP="00C11138">
      <w:pPr>
        <w:jc w:val="both"/>
      </w:pPr>
    </w:p>
    <w:p w14:paraId="60F652F5" w14:textId="2051EC64" w:rsidR="00AA265A" w:rsidRPr="00A124C2" w:rsidRDefault="00272EE4" w:rsidP="00C11138">
      <w:pPr>
        <w:jc w:val="both"/>
      </w:pPr>
      <w:r w:rsidRPr="00A124C2">
        <w:rPr>
          <w:b/>
        </w:rPr>
        <w:t xml:space="preserve">Povećanje broja gostujućih profesora i inozemnih </w:t>
      </w:r>
      <w:r w:rsidR="00154928" w:rsidRPr="00A124C2">
        <w:rPr>
          <w:b/>
        </w:rPr>
        <w:t>predavača</w:t>
      </w:r>
      <w:r w:rsidRPr="00A124C2">
        <w:rPr>
          <w:b/>
        </w:rPr>
        <w:t xml:space="preserve"> na Stomatološkom fakultetu Sveučilišta u Zagrebu</w:t>
      </w:r>
      <w:r w:rsidRPr="00A124C2">
        <w:t xml:space="preserve"> - trenutačno ima</w:t>
      </w:r>
      <w:r w:rsidR="00AA265A" w:rsidRPr="00A124C2">
        <w:t xml:space="preserve">mo </w:t>
      </w:r>
      <w:r w:rsidR="00732013" w:rsidRPr="00A124C2">
        <w:t>pet</w:t>
      </w:r>
      <w:r w:rsidR="00B2130D" w:rsidRPr="00A124C2">
        <w:t xml:space="preserve"> gostujuć</w:t>
      </w:r>
      <w:r w:rsidR="00732013" w:rsidRPr="00A124C2">
        <w:t>ih</w:t>
      </w:r>
      <w:r w:rsidR="00B2130D" w:rsidRPr="00A124C2">
        <w:t xml:space="preserve"> profesora</w:t>
      </w:r>
      <w:r w:rsidR="00AA265A" w:rsidRPr="00A124C2">
        <w:t xml:space="preserve">, </w:t>
      </w:r>
      <w:r w:rsidR="00732013" w:rsidRPr="00A124C2">
        <w:t xml:space="preserve">što je jedan više u odnosu na prošlu godinu, </w:t>
      </w:r>
      <w:r w:rsidR="00B2130D" w:rsidRPr="00A124C2">
        <w:t>a cilj nam je imati</w:t>
      </w:r>
      <w:r w:rsidR="00AA265A" w:rsidRPr="00A124C2">
        <w:t xml:space="preserve"> na svakom </w:t>
      </w:r>
      <w:r w:rsidR="00CC4674" w:rsidRPr="00A124C2">
        <w:t>z</w:t>
      </w:r>
      <w:r w:rsidR="00AA265A" w:rsidRPr="00A124C2">
        <w:t xml:space="preserve">avodu </w:t>
      </w:r>
      <w:r w:rsidR="00B2130D" w:rsidRPr="00A124C2">
        <w:t xml:space="preserve">barem </w:t>
      </w:r>
      <w:r w:rsidR="00036156" w:rsidRPr="00A124C2">
        <w:t>dva</w:t>
      </w:r>
      <w:r w:rsidR="00AA265A" w:rsidRPr="00A124C2">
        <w:t xml:space="preserve">. Valja naglasiti kako su u nastavi na našem Fakultetu, gosti profesori posebno vrijedni </w:t>
      </w:r>
      <w:r w:rsidR="00AE0677" w:rsidRPr="00A124C2">
        <w:t xml:space="preserve">i </w:t>
      </w:r>
      <w:r w:rsidR="00AA265A" w:rsidRPr="00A124C2">
        <w:t xml:space="preserve">za praktične oblike nastave kako bi studentima pokazali i prikazali nova dostignuća u njihovom području struke, a koji se izvode s učešćem pacijenata. </w:t>
      </w:r>
    </w:p>
    <w:p w14:paraId="64D978AA" w14:textId="775B67A6" w:rsidR="00272EE4" w:rsidRPr="00A124C2" w:rsidRDefault="00272EE4" w:rsidP="00C11138">
      <w:pPr>
        <w:jc w:val="both"/>
      </w:pPr>
    </w:p>
    <w:p w14:paraId="05F6EEAC" w14:textId="77777777" w:rsidR="00272EE4" w:rsidRPr="00A124C2" w:rsidRDefault="00272EE4" w:rsidP="00C11138">
      <w:pPr>
        <w:jc w:val="both"/>
      </w:pPr>
    </w:p>
    <w:p w14:paraId="6D2EF8F3" w14:textId="77777777" w:rsidR="00272EE4" w:rsidRPr="00A124C2" w:rsidRDefault="00272EE4" w:rsidP="00C11138">
      <w:pPr>
        <w:jc w:val="both"/>
        <w:rPr>
          <w:color w:val="FF0000"/>
        </w:rPr>
      </w:pPr>
    </w:p>
    <w:p w14:paraId="3E117285" w14:textId="77777777" w:rsidR="00272EE4" w:rsidRPr="00A124C2" w:rsidRDefault="00272EE4" w:rsidP="00C11138">
      <w:pPr>
        <w:jc w:val="both"/>
      </w:pPr>
    </w:p>
    <w:p w14:paraId="3E63360D" w14:textId="047AC98F" w:rsidR="00272EE4" w:rsidRPr="00A124C2" w:rsidRDefault="001031E9" w:rsidP="00C11138">
      <w:pPr>
        <w:jc w:val="both"/>
      </w:pPr>
      <w:r w:rsidRPr="00A124C2">
        <w:rPr>
          <w:bCs/>
        </w:rPr>
        <w:t xml:space="preserve">Zagreb, </w:t>
      </w:r>
      <w:r w:rsidR="00A04456">
        <w:rPr>
          <w:bCs/>
        </w:rPr>
        <w:t>23</w:t>
      </w:r>
      <w:r w:rsidRPr="00A124C2">
        <w:rPr>
          <w:bCs/>
        </w:rPr>
        <w:t xml:space="preserve">. </w:t>
      </w:r>
      <w:r w:rsidR="00A04456">
        <w:rPr>
          <w:bCs/>
        </w:rPr>
        <w:t>prosinca</w:t>
      </w:r>
      <w:r w:rsidR="00272EE4" w:rsidRPr="00A124C2">
        <w:rPr>
          <w:bCs/>
        </w:rPr>
        <w:t xml:space="preserve"> 202</w:t>
      </w:r>
      <w:r w:rsidR="009D6CDA" w:rsidRPr="00A124C2">
        <w:rPr>
          <w:bCs/>
        </w:rPr>
        <w:t>5</w:t>
      </w:r>
      <w:r w:rsidR="00272EE4" w:rsidRPr="00A124C2">
        <w:rPr>
          <w:bCs/>
        </w:rPr>
        <w:t>.</w:t>
      </w:r>
    </w:p>
    <w:p w14:paraId="7F1D737A" w14:textId="77777777" w:rsidR="00272EE4" w:rsidRPr="00A124C2" w:rsidRDefault="00272EE4" w:rsidP="00C11138">
      <w:pPr>
        <w:jc w:val="both"/>
      </w:pPr>
    </w:p>
    <w:p w14:paraId="27E3F899" w14:textId="77777777" w:rsidR="00272EE4" w:rsidRPr="00A124C2" w:rsidRDefault="00272EE4" w:rsidP="00C11138">
      <w:r w:rsidRPr="00A124C2">
        <w:t xml:space="preserve">                                                                                                                   Dekan:</w:t>
      </w:r>
    </w:p>
    <w:p w14:paraId="6FC4C0FF" w14:textId="77777777" w:rsidR="00272EE4" w:rsidRPr="00A124C2" w:rsidRDefault="00272EE4" w:rsidP="00C11138"/>
    <w:p w14:paraId="6A2CF869" w14:textId="77777777" w:rsidR="00272EE4" w:rsidRPr="00A124C2" w:rsidRDefault="00272EE4" w:rsidP="00C11138">
      <w:r w:rsidRPr="00A124C2">
        <w:t xml:space="preserve">                                                                                               ____________________________                                       </w:t>
      </w:r>
    </w:p>
    <w:p w14:paraId="5A42C50F" w14:textId="77777777" w:rsidR="00272EE4" w:rsidRPr="00A124C2" w:rsidRDefault="00272EE4" w:rsidP="00C11138">
      <w:pPr>
        <w:jc w:val="both"/>
        <w:rPr>
          <w:b/>
          <w:bCs/>
        </w:rPr>
      </w:pPr>
      <w:r w:rsidRPr="00A124C2">
        <w:t xml:space="preserve">                                                                                                  Prof.dr.sc. </w:t>
      </w:r>
      <w:r w:rsidR="00B2130D" w:rsidRPr="00A124C2">
        <w:t xml:space="preserve">Marin </w:t>
      </w:r>
      <w:proofErr w:type="spellStart"/>
      <w:r w:rsidR="00B2130D" w:rsidRPr="00A124C2">
        <w:t>Vodanović</w:t>
      </w:r>
      <w:proofErr w:type="spellEnd"/>
    </w:p>
    <w:sectPr w:rsidR="00272EE4" w:rsidRPr="00A124C2" w:rsidSect="00E93F46">
      <w:footerReference w:type="default" r:id="rId8"/>
      <w:pgSz w:w="11906" w:h="16838"/>
      <w:pgMar w:top="1134" w:right="1134" w:bottom="1134" w:left="1134" w:header="709" w:footer="709" w:gutter="0"/>
      <w:pgNumType w:start="1" w:chapStyle="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3B84F9" w16cid:durableId="2C9C9ED2"/>
  <w16cid:commentId w16cid:paraId="0D3909E0" w16cid:durableId="2C9C9F2E"/>
  <w16cid:commentId w16cid:paraId="46452110" w16cid:durableId="2C9C98F4"/>
  <w16cid:commentId w16cid:paraId="491BB753" w16cid:durableId="2C9C994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542AF" w14:textId="77777777" w:rsidR="001D1516" w:rsidRDefault="001D1516" w:rsidP="00364558">
      <w:r>
        <w:separator/>
      </w:r>
    </w:p>
  </w:endnote>
  <w:endnote w:type="continuationSeparator" w:id="0">
    <w:p w14:paraId="73CBBFF3" w14:textId="77777777" w:rsidR="001D1516" w:rsidRDefault="001D1516" w:rsidP="0036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080220"/>
      <w:docPartObj>
        <w:docPartGallery w:val="Page Numbers (Bottom of Page)"/>
        <w:docPartUnique/>
      </w:docPartObj>
    </w:sdtPr>
    <w:sdtEndPr/>
    <w:sdtContent>
      <w:p w14:paraId="02271E31" w14:textId="69996B0D" w:rsidR="001D1516" w:rsidRDefault="001D1516">
        <w:pPr>
          <w:pStyle w:val="Footer"/>
          <w:jc w:val="right"/>
        </w:pPr>
        <w:r>
          <w:fldChar w:fldCharType="begin"/>
        </w:r>
        <w:r>
          <w:instrText>PAGE   \* MERGEFORMAT</w:instrText>
        </w:r>
        <w:r>
          <w:fldChar w:fldCharType="separate"/>
        </w:r>
        <w:r w:rsidR="00F00594">
          <w:rPr>
            <w:noProof/>
          </w:rPr>
          <w:t>15</w:t>
        </w:r>
        <w:r>
          <w:rPr>
            <w:noProof/>
          </w:rPr>
          <w:fldChar w:fldCharType="end"/>
        </w:r>
      </w:p>
    </w:sdtContent>
  </w:sdt>
  <w:p w14:paraId="31BDEAFC" w14:textId="77777777" w:rsidR="001D1516" w:rsidRDefault="001D15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DF943" w14:textId="77777777" w:rsidR="001D1516" w:rsidRDefault="001D1516" w:rsidP="00364558">
      <w:r>
        <w:separator/>
      </w:r>
    </w:p>
  </w:footnote>
  <w:footnote w:type="continuationSeparator" w:id="0">
    <w:p w14:paraId="4544A6EA" w14:textId="77777777" w:rsidR="001D1516" w:rsidRDefault="001D1516" w:rsidP="003645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2366"/>
    <w:multiLevelType w:val="hybridMultilevel"/>
    <w:tmpl w:val="08AE4A90"/>
    <w:lvl w:ilvl="0" w:tplc="8A567A7A">
      <w:start w:val="1"/>
      <w:numFmt w:val="bullet"/>
      <w:lvlText w:val="-"/>
      <w:lvlJc w:val="left"/>
      <w:pPr>
        <w:ind w:left="686" w:hanging="360"/>
      </w:pPr>
      <w:rPr>
        <w:rFonts w:ascii="Calibri" w:eastAsiaTheme="minorHAnsi" w:hAnsi="Calibri" w:cs="Calibri" w:hint="default"/>
      </w:rPr>
    </w:lvl>
    <w:lvl w:ilvl="1" w:tplc="041A0003" w:tentative="1">
      <w:start w:val="1"/>
      <w:numFmt w:val="bullet"/>
      <w:lvlText w:val="o"/>
      <w:lvlJc w:val="left"/>
      <w:pPr>
        <w:ind w:left="1406" w:hanging="360"/>
      </w:pPr>
      <w:rPr>
        <w:rFonts w:ascii="Courier New" w:hAnsi="Courier New" w:cs="Courier New" w:hint="default"/>
      </w:rPr>
    </w:lvl>
    <w:lvl w:ilvl="2" w:tplc="041A0005" w:tentative="1">
      <w:start w:val="1"/>
      <w:numFmt w:val="bullet"/>
      <w:lvlText w:val=""/>
      <w:lvlJc w:val="left"/>
      <w:pPr>
        <w:ind w:left="2126" w:hanging="360"/>
      </w:pPr>
      <w:rPr>
        <w:rFonts w:ascii="Wingdings" w:hAnsi="Wingdings" w:hint="default"/>
      </w:rPr>
    </w:lvl>
    <w:lvl w:ilvl="3" w:tplc="041A0001" w:tentative="1">
      <w:start w:val="1"/>
      <w:numFmt w:val="bullet"/>
      <w:lvlText w:val=""/>
      <w:lvlJc w:val="left"/>
      <w:pPr>
        <w:ind w:left="2846" w:hanging="360"/>
      </w:pPr>
      <w:rPr>
        <w:rFonts w:ascii="Symbol" w:hAnsi="Symbol" w:hint="default"/>
      </w:rPr>
    </w:lvl>
    <w:lvl w:ilvl="4" w:tplc="041A0003" w:tentative="1">
      <w:start w:val="1"/>
      <w:numFmt w:val="bullet"/>
      <w:lvlText w:val="o"/>
      <w:lvlJc w:val="left"/>
      <w:pPr>
        <w:ind w:left="3566" w:hanging="360"/>
      </w:pPr>
      <w:rPr>
        <w:rFonts w:ascii="Courier New" w:hAnsi="Courier New" w:cs="Courier New" w:hint="default"/>
      </w:rPr>
    </w:lvl>
    <w:lvl w:ilvl="5" w:tplc="041A0005" w:tentative="1">
      <w:start w:val="1"/>
      <w:numFmt w:val="bullet"/>
      <w:lvlText w:val=""/>
      <w:lvlJc w:val="left"/>
      <w:pPr>
        <w:ind w:left="4286" w:hanging="360"/>
      </w:pPr>
      <w:rPr>
        <w:rFonts w:ascii="Wingdings" w:hAnsi="Wingdings" w:hint="default"/>
      </w:rPr>
    </w:lvl>
    <w:lvl w:ilvl="6" w:tplc="041A0001" w:tentative="1">
      <w:start w:val="1"/>
      <w:numFmt w:val="bullet"/>
      <w:lvlText w:val=""/>
      <w:lvlJc w:val="left"/>
      <w:pPr>
        <w:ind w:left="5006" w:hanging="360"/>
      </w:pPr>
      <w:rPr>
        <w:rFonts w:ascii="Symbol" w:hAnsi="Symbol" w:hint="default"/>
      </w:rPr>
    </w:lvl>
    <w:lvl w:ilvl="7" w:tplc="041A0003" w:tentative="1">
      <w:start w:val="1"/>
      <w:numFmt w:val="bullet"/>
      <w:lvlText w:val="o"/>
      <w:lvlJc w:val="left"/>
      <w:pPr>
        <w:ind w:left="5726" w:hanging="360"/>
      </w:pPr>
      <w:rPr>
        <w:rFonts w:ascii="Courier New" w:hAnsi="Courier New" w:cs="Courier New" w:hint="default"/>
      </w:rPr>
    </w:lvl>
    <w:lvl w:ilvl="8" w:tplc="041A0005" w:tentative="1">
      <w:start w:val="1"/>
      <w:numFmt w:val="bullet"/>
      <w:lvlText w:val=""/>
      <w:lvlJc w:val="left"/>
      <w:pPr>
        <w:ind w:left="6446" w:hanging="360"/>
      </w:pPr>
      <w:rPr>
        <w:rFonts w:ascii="Wingdings" w:hAnsi="Wingdings" w:hint="default"/>
      </w:rPr>
    </w:lvl>
  </w:abstractNum>
  <w:abstractNum w:abstractNumId="1" w15:restartNumberingAfterBreak="0">
    <w:nsid w:val="16C41AC5"/>
    <w:multiLevelType w:val="hybridMultilevel"/>
    <w:tmpl w:val="789A1B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755509C"/>
    <w:multiLevelType w:val="hybridMultilevel"/>
    <w:tmpl w:val="893C2D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F76F7B"/>
    <w:multiLevelType w:val="hybridMultilevel"/>
    <w:tmpl w:val="BDDA0E3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EFE5B25"/>
    <w:multiLevelType w:val="hybridMultilevel"/>
    <w:tmpl w:val="F1A845D2"/>
    <w:lvl w:ilvl="0" w:tplc="61E27642">
      <w:start w:val="1"/>
      <w:numFmt w:val="decimal"/>
      <w:lvlText w:val="%1."/>
      <w:lvlJc w:val="left"/>
      <w:pPr>
        <w:ind w:left="525" w:hanging="525"/>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47FE1348"/>
    <w:multiLevelType w:val="hybridMultilevel"/>
    <w:tmpl w:val="C43230F6"/>
    <w:lvl w:ilvl="0" w:tplc="61E27642">
      <w:start w:val="1"/>
      <w:numFmt w:val="decimal"/>
      <w:lvlText w:val="%1."/>
      <w:lvlJc w:val="left"/>
      <w:pPr>
        <w:ind w:left="525" w:hanging="525"/>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61D16805"/>
    <w:multiLevelType w:val="hybridMultilevel"/>
    <w:tmpl w:val="C39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0A0B25"/>
    <w:multiLevelType w:val="hybridMultilevel"/>
    <w:tmpl w:val="51EAF8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7"/>
  </w:num>
  <w:num w:numId="5">
    <w:abstractNumId w:val="5"/>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A24"/>
    <w:rsid w:val="00004D5F"/>
    <w:rsid w:val="00005A37"/>
    <w:rsid w:val="00005D5A"/>
    <w:rsid w:val="000105A4"/>
    <w:rsid w:val="000200FC"/>
    <w:rsid w:val="00022C87"/>
    <w:rsid w:val="0002693D"/>
    <w:rsid w:val="00035AF3"/>
    <w:rsid w:val="00036156"/>
    <w:rsid w:val="000452C3"/>
    <w:rsid w:val="000516E8"/>
    <w:rsid w:val="00064B9C"/>
    <w:rsid w:val="00066734"/>
    <w:rsid w:val="00067055"/>
    <w:rsid w:val="00081899"/>
    <w:rsid w:val="000840B1"/>
    <w:rsid w:val="00094376"/>
    <w:rsid w:val="000A3440"/>
    <w:rsid w:val="000B0038"/>
    <w:rsid w:val="000B414F"/>
    <w:rsid w:val="000C38BB"/>
    <w:rsid w:val="000C774D"/>
    <w:rsid w:val="000D5300"/>
    <w:rsid w:val="000E66CC"/>
    <w:rsid w:val="000F3D6C"/>
    <w:rsid w:val="000F6473"/>
    <w:rsid w:val="001031E9"/>
    <w:rsid w:val="001055F5"/>
    <w:rsid w:val="00121F64"/>
    <w:rsid w:val="00137587"/>
    <w:rsid w:val="00137892"/>
    <w:rsid w:val="00143804"/>
    <w:rsid w:val="00145113"/>
    <w:rsid w:val="00146728"/>
    <w:rsid w:val="00154928"/>
    <w:rsid w:val="001555B0"/>
    <w:rsid w:val="00157EB7"/>
    <w:rsid w:val="00160624"/>
    <w:rsid w:val="00170030"/>
    <w:rsid w:val="001821AD"/>
    <w:rsid w:val="001944B1"/>
    <w:rsid w:val="00197212"/>
    <w:rsid w:val="001C1518"/>
    <w:rsid w:val="001D1516"/>
    <w:rsid w:val="001D20FE"/>
    <w:rsid w:val="001D3A65"/>
    <w:rsid w:val="001D7106"/>
    <w:rsid w:val="001F6568"/>
    <w:rsid w:val="001F77E8"/>
    <w:rsid w:val="002017CF"/>
    <w:rsid w:val="00206ABA"/>
    <w:rsid w:val="00222B4E"/>
    <w:rsid w:val="00225E0B"/>
    <w:rsid w:val="0024348D"/>
    <w:rsid w:val="002531BD"/>
    <w:rsid w:val="0026238D"/>
    <w:rsid w:val="00271823"/>
    <w:rsid w:val="00271A08"/>
    <w:rsid w:val="00272EE4"/>
    <w:rsid w:val="00276945"/>
    <w:rsid w:val="0029319E"/>
    <w:rsid w:val="002C3BBC"/>
    <w:rsid w:val="002C669A"/>
    <w:rsid w:val="002E0F3A"/>
    <w:rsid w:val="002E3B69"/>
    <w:rsid w:val="002E54CB"/>
    <w:rsid w:val="002F2C13"/>
    <w:rsid w:val="00302A1B"/>
    <w:rsid w:val="0030335B"/>
    <w:rsid w:val="0030748E"/>
    <w:rsid w:val="00316EB3"/>
    <w:rsid w:val="003243E1"/>
    <w:rsid w:val="00331F5C"/>
    <w:rsid w:val="00332C21"/>
    <w:rsid w:val="003331FA"/>
    <w:rsid w:val="003370BF"/>
    <w:rsid w:val="00343B41"/>
    <w:rsid w:val="00352500"/>
    <w:rsid w:val="00364558"/>
    <w:rsid w:val="00373A41"/>
    <w:rsid w:val="00373E58"/>
    <w:rsid w:val="003B4423"/>
    <w:rsid w:val="003C7CDC"/>
    <w:rsid w:val="003D1D88"/>
    <w:rsid w:val="003F74FC"/>
    <w:rsid w:val="00423098"/>
    <w:rsid w:val="004236AF"/>
    <w:rsid w:val="004412D7"/>
    <w:rsid w:val="0044380B"/>
    <w:rsid w:val="00457637"/>
    <w:rsid w:val="0046319E"/>
    <w:rsid w:val="00496216"/>
    <w:rsid w:val="004A2A63"/>
    <w:rsid w:val="004A2EE6"/>
    <w:rsid w:val="004B2E37"/>
    <w:rsid w:val="004B72C9"/>
    <w:rsid w:val="004C4D50"/>
    <w:rsid w:val="004D4E3A"/>
    <w:rsid w:val="004D5DC8"/>
    <w:rsid w:val="004E775C"/>
    <w:rsid w:val="004F2141"/>
    <w:rsid w:val="004F2530"/>
    <w:rsid w:val="0050322E"/>
    <w:rsid w:val="00510879"/>
    <w:rsid w:val="005209A5"/>
    <w:rsid w:val="005247BE"/>
    <w:rsid w:val="00542C76"/>
    <w:rsid w:val="005703CE"/>
    <w:rsid w:val="00583D6B"/>
    <w:rsid w:val="005A187C"/>
    <w:rsid w:val="005A1FAE"/>
    <w:rsid w:val="005A5152"/>
    <w:rsid w:val="005C487B"/>
    <w:rsid w:val="005C558F"/>
    <w:rsid w:val="005E44C3"/>
    <w:rsid w:val="005E6F50"/>
    <w:rsid w:val="006029D8"/>
    <w:rsid w:val="00607040"/>
    <w:rsid w:val="00610681"/>
    <w:rsid w:val="00625F01"/>
    <w:rsid w:val="00626273"/>
    <w:rsid w:val="0063623B"/>
    <w:rsid w:val="00654F99"/>
    <w:rsid w:val="00660FFA"/>
    <w:rsid w:val="00681770"/>
    <w:rsid w:val="00685A31"/>
    <w:rsid w:val="00695D17"/>
    <w:rsid w:val="006A359C"/>
    <w:rsid w:val="006A582F"/>
    <w:rsid w:val="006A7F00"/>
    <w:rsid w:val="006B2138"/>
    <w:rsid w:val="006C69F5"/>
    <w:rsid w:val="006D72EE"/>
    <w:rsid w:val="006E09DC"/>
    <w:rsid w:val="006E0EAF"/>
    <w:rsid w:val="006F7F84"/>
    <w:rsid w:val="00721835"/>
    <w:rsid w:val="00725464"/>
    <w:rsid w:val="00732013"/>
    <w:rsid w:val="0073292B"/>
    <w:rsid w:val="0075256F"/>
    <w:rsid w:val="007573AE"/>
    <w:rsid w:val="00757B12"/>
    <w:rsid w:val="00765944"/>
    <w:rsid w:val="0077317E"/>
    <w:rsid w:val="0077473F"/>
    <w:rsid w:val="00777B0C"/>
    <w:rsid w:val="00785F05"/>
    <w:rsid w:val="00790D9A"/>
    <w:rsid w:val="00792D82"/>
    <w:rsid w:val="007A1864"/>
    <w:rsid w:val="007A41A7"/>
    <w:rsid w:val="007B2CDD"/>
    <w:rsid w:val="007C60D4"/>
    <w:rsid w:val="007D189C"/>
    <w:rsid w:val="007E6EED"/>
    <w:rsid w:val="00811FDE"/>
    <w:rsid w:val="00813136"/>
    <w:rsid w:val="0082291F"/>
    <w:rsid w:val="00832201"/>
    <w:rsid w:val="008565E1"/>
    <w:rsid w:val="00861472"/>
    <w:rsid w:val="00870108"/>
    <w:rsid w:val="00883B2F"/>
    <w:rsid w:val="00886A78"/>
    <w:rsid w:val="00891A0F"/>
    <w:rsid w:val="008A3012"/>
    <w:rsid w:val="008A4752"/>
    <w:rsid w:val="008B1235"/>
    <w:rsid w:val="008B367A"/>
    <w:rsid w:val="008B5F70"/>
    <w:rsid w:val="008C3DC9"/>
    <w:rsid w:val="008C4D8A"/>
    <w:rsid w:val="008D0E39"/>
    <w:rsid w:val="008F75FC"/>
    <w:rsid w:val="0090225E"/>
    <w:rsid w:val="00903642"/>
    <w:rsid w:val="00911318"/>
    <w:rsid w:val="00922FBC"/>
    <w:rsid w:val="009729FA"/>
    <w:rsid w:val="0099077D"/>
    <w:rsid w:val="009929F1"/>
    <w:rsid w:val="009A470E"/>
    <w:rsid w:val="009C28FF"/>
    <w:rsid w:val="009D6CDA"/>
    <w:rsid w:val="009E35E8"/>
    <w:rsid w:val="009E70A4"/>
    <w:rsid w:val="009F0791"/>
    <w:rsid w:val="00A04456"/>
    <w:rsid w:val="00A12324"/>
    <w:rsid w:val="00A124C2"/>
    <w:rsid w:val="00A2452D"/>
    <w:rsid w:val="00A318C0"/>
    <w:rsid w:val="00A333AB"/>
    <w:rsid w:val="00A43665"/>
    <w:rsid w:val="00A511FD"/>
    <w:rsid w:val="00A63AC2"/>
    <w:rsid w:val="00A80EAF"/>
    <w:rsid w:val="00A81F0E"/>
    <w:rsid w:val="00A939D1"/>
    <w:rsid w:val="00AA265A"/>
    <w:rsid w:val="00AC0B28"/>
    <w:rsid w:val="00AC7F2F"/>
    <w:rsid w:val="00AE0677"/>
    <w:rsid w:val="00AE5B5B"/>
    <w:rsid w:val="00B035B4"/>
    <w:rsid w:val="00B16B32"/>
    <w:rsid w:val="00B2130D"/>
    <w:rsid w:val="00B27C4C"/>
    <w:rsid w:val="00B405B2"/>
    <w:rsid w:val="00B42176"/>
    <w:rsid w:val="00B53988"/>
    <w:rsid w:val="00B55A24"/>
    <w:rsid w:val="00B63BB3"/>
    <w:rsid w:val="00B66A80"/>
    <w:rsid w:val="00B8022C"/>
    <w:rsid w:val="00B80455"/>
    <w:rsid w:val="00B80E2C"/>
    <w:rsid w:val="00B94EEE"/>
    <w:rsid w:val="00BA35FF"/>
    <w:rsid w:val="00BA4A02"/>
    <w:rsid w:val="00BA5447"/>
    <w:rsid w:val="00BB7B3A"/>
    <w:rsid w:val="00BC7BF5"/>
    <w:rsid w:val="00BD1CDC"/>
    <w:rsid w:val="00BD6ED3"/>
    <w:rsid w:val="00BE2F18"/>
    <w:rsid w:val="00BE4595"/>
    <w:rsid w:val="00BE49F5"/>
    <w:rsid w:val="00BF4AEB"/>
    <w:rsid w:val="00C11138"/>
    <w:rsid w:val="00C23345"/>
    <w:rsid w:val="00C502B6"/>
    <w:rsid w:val="00C53345"/>
    <w:rsid w:val="00C55CF9"/>
    <w:rsid w:val="00C56DD1"/>
    <w:rsid w:val="00C86B82"/>
    <w:rsid w:val="00C978D1"/>
    <w:rsid w:val="00CA2F47"/>
    <w:rsid w:val="00CB04AF"/>
    <w:rsid w:val="00CC0F86"/>
    <w:rsid w:val="00CC4674"/>
    <w:rsid w:val="00CC4D0C"/>
    <w:rsid w:val="00CE0553"/>
    <w:rsid w:val="00CE709F"/>
    <w:rsid w:val="00CF3E2E"/>
    <w:rsid w:val="00CF4B8E"/>
    <w:rsid w:val="00D027F5"/>
    <w:rsid w:val="00D04E34"/>
    <w:rsid w:val="00D04E49"/>
    <w:rsid w:val="00D12E34"/>
    <w:rsid w:val="00D1367F"/>
    <w:rsid w:val="00D3311E"/>
    <w:rsid w:val="00D40634"/>
    <w:rsid w:val="00D42D33"/>
    <w:rsid w:val="00D53C8D"/>
    <w:rsid w:val="00D63715"/>
    <w:rsid w:val="00D6796F"/>
    <w:rsid w:val="00D75185"/>
    <w:rsid w:val="00D75999"/>
    <w:rsid w:val="00D7679A"/>
    <w:rsid w:val="00D77CAA"/>
    <w:rsid w:val="00D82064"/>
    <w:rsid w:val="00D855AB"/>
    <w:rsid w:val="00D864BA"/>
    <w:rsid w:val="00DC78F1"/>
    <w:rsid w:val="00DD2BCE"/>
    <w:rsid w:val="00DE4AE3"/>
    <w:rsid w:val="00DF02B1"/>
    <w:rsid w:val="00E01A7B"/>
    <w:rsid w:val="00E17B7F"/>
    <w:rsid w:val="00E30AD4"/>
    <w:rsid w:val="00E502FA"/>
    <w:rsid w:val="00E5092A"/>
    <w:rsid w:val="00E6109B"/>
    <w:rsid w:val="00E668EF"/>
    <w:rsid w:val="00E66CA6"/>
    <w:rsid w:val="00E92817"/>
    <w:rsid w:val="00E93F46"/>
    <w:rsid w:val="00EA10C4"/>
    <w:rsid w:val="00EC3E9D"/>
    <w:rsid w:val="00ED0896"/>
    <w:rsid w:val="00ED644B"/>
    <w:rsid w:val="00EE4D77"/>
    <w:rsid w:val="00EF5493"/>
    <w:rsid w:val="00EF6404"/>
    <w:rsid w:val="00F00594"/>
    <w:rsid w:val="00F00B5C"/>
    <w:rsid w:val="00F17949"/>
    <w:rsid w:val="00F324B9"/>
    <w:rsid w:val="00F41CD6"/>
    <w:rsid w:val="00F50E74"/>
    <w:rsid w:val="00F56E8E"/>
    <w:rsid w:val="00F7123F"/>
    <w:rsid w:val="00F74B45"/>
    <w:rsid w:val="00F92DD3"/>
    <w:rsid w:val="00F937CA"/>
    <w:rsid w:val="00F96003"/>
    <w:rsid w:val="00F96B5D"/>
    <w:rsid w:val="00FA019F"/>
    <w:rsid w:val="00FA02A6"/>
    <w:rsid w:val="00FA3C48"/>
    <w:rsid w:val="00FA5EE9"/>
    <w:rsid w:val="00FB5576"/>
    <w:rsid w:val="00FC2833"/>
    <w:rsid w:val="00FC4140"/>
    <w:rsid w:val="00FC6CF7"/>
    <w:rsid w:val="00FD21DA"/>
    <w:rsid w:val="00FF171E"/>
    <w:rsid w:val="00FF479F"/>
    <w:rsid w:val="00FF6A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842C1A"/>
  <w15:docId w15:val="{9B379150-673F-4C4E-AFDE-9F2B3924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rtificate"/>
    <w:qFormat/>
    <w:rsid w:val="00B63B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6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4558"/>
    <w:pPr>
      <w:tabs>
        <w:tab w:val="center" w:pos="4536"/>
        <w:tab w:val="right" w:pos="9072"/>
      </w:tabs>
    </w:pPr>
  </w:style>
  <w:style w:type="character" w:customStyle="1" w:styleId="HeaderChar">
    <w:name w:val="Header Char"/>
    <w:basedOn w:val="DefaultParagraphFont"/>
    <w:link w:val="Header"/>
    <w:uiPriority w:val="99"/>
    <w:rsid w:val="00364558"/>
    <w:rPr>
      <w:rFonts w:ascii="Calibri" w:hAnsi="Calibri" w:cs="Times New Roman"/>
    </w:rPr>
  </w:style>
  <w:style w:type="paragraph" w:styleId="Footer">
    <w:name w:val="footer"/>
    <w:basedOn w:val="Normal"/>
    <w:link w:val="FooterChar"/>
    <w:uiPriority w:val="99"/>
    <w:unhideWhenUsed/>
    <w:rsid w:val="00364558"/>
    <w:pPr>
      <w:tabs>
        <w:tab w:val="center" w:pos="4536"/>
        <w:tab w:val="right" w:pos="9072"/>
      </w:tabs>
    </w:pPr>
  </w:style>
  <w:style w:type="character" w:customStyle="1" w:styleId="FooterChar">
    <w:name w:val="Footer Char"/>
    <w:basedOn w:val="DefaultParagraphFont"/>
    <w:link w:val="Footer"/>
    <w:uiPriority w:val="99"/>
    <w:rsid w:val="00364558"/>
    <w:rPr>
      <w:rFonts w:ascii="Calibri" w:hAnsi="Calibri" w:cs="Times New Roman"/>
    </w:rPr>
  </w:style>
  <w:style w:type="paragraph" w:styleId="BalloonText">
    <w:name w:val="Balloon Text"/>
    <w:basedOn w:val="Normal"/>
    <w:link w:val="BalloonTextChar"/>
    <w:uiPriority w:val="99"/>
    <w:semiHidden/>
    <w:unhideWhenUsed/>
    <w:rsid w:val="00C55C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CF9"/>
    <w:rPr>
      <w:rFonts w:ascii="Segoe UI" w:hAnsi="Segoe UI" w:cs="Segoe UI"/>
      <w:sz w:val="18"/>
      <w:szCs w:val="18"/>
    </w:rPr>
  </w:style>
  <w:style w:type="paragraph" w:styleId="ListParagraph">
    <w:name w:val="List Paragraph"/>
    <w:basedOn w:val="Normal"/>
    <w:uiPriority w:val="34"/>
    <w:qFormat/>
    <w:rsid w:val="00A511FD"/>
    <w:pPr>
      <w:ind w:left="720"/>
      <w:contextualSpacing/>
    </w:pPr>
  </w:style>
  <w:style w:type="character" w:customStyle="1" w:styleId="apple-converted-space">
    <w:name w:val="apple-converted-space"/>
    <w:basedOn w:val="DefaultParagraphFont"/>
    <w:rsid w:val="006C69F5"/>
  </w:style>
  <w:style w:type="character" w:styleId="CommentReference">
    <w:name w:val="annotation reference"/>
    <w:basedOn w:val="DefaultParagraphFont"/>
    <w:uiPriority w:val="99"/>
    <w:semiHidden/>
    <w:unhideWhenUsed/>
    <w:rsid w:val="004E775C"/>
    <w:rPr>
      <w:sz w:val="16"/>
      <w:szCs w:val="16"/>
    </w:rPr>
  </w:style>
  <w:style w:type="paragraph" w:styleId="CommentText">
    <w:name w:val="annotation text"/>
    <w:basedOn w:val="Normal"/>
    <w:link w:val="CommentTextChar"/>
    <w:uiPriority w:val="99"/>
    <w:semiHidden/>
    <w:unhideWhenUsed/>
    <w:rsid w:val="004E775C"/>
    <w:rPr>
      <w:sz w:val="20"/>
      <w:szCs w:val="20"/>
    </w:rPr>
  </w:style>
  <w:style w:type="character" w:customStyle="1" w:styleId="CommentTextChar">
    <w:name w:val="Comment Text Char"/>
    <w:basedOn w:val="DefaultParagraphFont"/>
    <w:link w:val="CommentText"/>
    <w:uiPriority w:val="99"/>
    <w:semiHidden/>
    <w:rsid w:val="004E7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775C"/>
    <w:rPr>
      <w:b/>
      <w:bCs/>
    </w:rPr>
  </w:style>
  <w:style w:type="character" w:customStyle="1" w:styleId="CommentSubjectChar">
    <w:name w:val="Comment Subject Char"/>
    <w:basedOn w:val="CommentTextChar"/>
    <w:link w:val="CommentSubject"/>
    <w:uiPriority w:val="99"/>
    <w:semiHidden/>
    <w:rsid w:val="004E775C"/>
    <w:rPr>
      <w:rFonts w:ascii="Times New Roman" w:eastAsia="Times New Roman" w:hAnsi="Times New Roman" w:cs="Times New Roman"/>
      <w:b/>
      <w:bCs/>
      <w:sz w:val="20"/>
      <w:szCs w:val="20"/>
    </w:rPr>
  </w:style>
  <w:style w:type="paragraph" w:customStyle="1" w:styleId="Default">
    <w:name w:val="Default"/>
    <w:rsid w:val="00583D6B"/>
    <w:pPr>
      <w:pBdr>
        <w:top w:val="nil"/>
        <w:left w:val="nil"/>
        <w:bottom w:val="nil"/>
        <w:right w:val="nil"/>
        <w:between w:val="nil"/>
        <w:bar w:val="nil"/>
      </w:pBdr>
      <w:spacing w:before="160" w:after="0" w:line="288" w:lineRule="auto"/>
    </w:pPr>
    <w:rPr>
      <w:rFonts w:ascii="Times New Roman" w:eastAsia="Arial Unicode MS" w:hAnsi="Times New Roman" w:cs="Arial Unicode MS"/>
      <w:color w:val="000000"/>
      <w:sz w:val="26"/>
      <w:szCs w:val="26"/>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127">
      <w:bodyDiv w:val="1"/>
      <w:marLeft w:val="0"/>
      <w:marRight w:val="0"/>
      <w:marTop w:val="0"/>
      <w:marBottom w:val="0"/>
      <w:divBdr>
        <w:top w:val="none" w:sz="0" w:space="0" w:color="auto"/>
        <w:left w:val="none" w:sz="0" w:space="0" w:color="auto"/>
        <w:bottom w:val="none" w:sz="0" w:space="0" w:color="auto"/>
        <w:right w:val="none" w:sz="0" w:space="0" w:color="auto"/>
      </w:divBdr>
      <w:divsChild>
        <w:div w:id="602735111">
          <w:marLeft w:val="0"/>
          <w:marRight w:val="0"/>
          <w:marTop w:val="0"/>
          <w:marBottom w:val="0"/>
          <w:divBdr>
            <w:top w:val="none" w:sz="0" w:space="0" w:color="auto"/>
            <w:left w:val="none" w:sz="0" w:space="0" w:color="auto"/>
            <w:bottom w:val="none" w:sz="0" w:space="0" w:color="auto"/>
            <w:right w:val="none" w:sz="0" w:space="0" w:color="auto"/>
          </w:divBdr>
        </w:div>
        <w:div w:id="1031489073">
          <w:marLeft w:val="0"/>
          <w:marRight w:val="0"/>
          <w:marTop w:val="0"/>
          <w:marBottom w:val="0"/>
          <w:divBdr>
            <w:top w:val="none" w:sz="0" w:space="0" w:color="auto"/>
            <w:left w:val="none" w:sz="0" w:space="0" w:color="auto"/>
            <w:bottom w:val="none" w:sz="0" w:space="0" w:color="auto"/>
            <w:right w:val="none" w:sz="0" w:space="0" w:color="auto"/>
          </w:divBdr>
        </w:div>
        <w:div w:id="1666130844">
          <w:marLeft w:val="0"/>
          <w:marRight w:val="0"/>
          <w:marTop w:val="0"/>
          <w:marBottom w:val="0"/>
          <w:divBdr>
            <w:top w:val="none" w:sz="0" w:space="0" w:color="auto"/>
            <w:left w:val="none" w:sz="0" w:space="0" w:color="auto"/>
            <w:bottom w:val="none" w:sz="0" w:space="0" w:color="auto"/>
            <w:right w:val="none" w:sz="0" w:space="0" w:color="auto"/>
          </w:divBdr>
        </w:div>
        <w:div w:id="972369159">
          <w:marLeft w:val="0"/>
          <w:marRight w:val="0"/>
          <w:marTop w:val="0"/>
          <w:marBottom w:val="0"/>
          <w:divBdr>
            <w:top w:val="none" w:sz="0" w:space="0" w:color="auto"/>
            <w:left w:val="none" w:sz="0" w:space="0" w:color="auto"/>
            <w:bottom w:val="none" w:sz="0" w:space="0" w:color="auto"/>
            <w:right w:val="none" w:sz="0" w:space="0" w:color="auto"/>
          </w:divBdr>
        </w:div>
      </w:divsChild>
    </w:div>
    <w:div w:id="3754723">
      <w:bodyDiv w:val="1"/>
      <w:marLeft w:val="0"/>
      <w:marRight w:val="0"/>
      <w:marTop w:val="0"/>
      <w:marBottom w:val="0"/>
      <w:divBdr>
        <w:top w:val="none" w:sz="0" w:space="0" w:color="auto"/>
        <w:left w:val="none" w:sz="0" w:space="0" w:color="auto"/>
        <w:bottom w:val="none" w:sz="0" w:space="0" w:color="auto"/>
        <w:right w:val="none" w:sz="0" w:space="0" w:color="auto"/>
      </w:divBdr>
    </w:div>
    <w:div w:id="20017507">
      <w:bodyDiv w:val="1"/>
      <w:marLeft w:val="0"/>
      <w:marRight w:val="0"/>
      <w:marTop w:val="0"/>
      <w:marBottom w:val="0"/>
      <w:divBdr>
        <w:top w:val="none" w:sz="0" w:space="0" w:color="auto"/>
        <w:left w:val="none" w:sz="0" w:space="0" w:color="auto"/>
        <w:bottom w:val="none" w:sz="0" w:space="0" w:color="auto"/>
        <w:right w:val="none" w:sz="0" w:space="0" w:color="auto"/>
      </w:divBdr>
    </w:div>
    <w:div w:id="24410558">
      <w:bodyDiv w:val="1"/>
      <w:marLeft w:val="0"/>
      <w:marRight w:val="0"/>
      <w:marTop w:val="0"/>
      <w:marBottom w:val="0"/>
      <w:divBdr>
        <w:top w:val="none" w:sz="0" w:space="0" w:color="auto"/>
        <w:left w:val="none" w:sz="0" w:space="0" w:color="auto"/>
        <w:bottom w:val="none" w:sz="0" w:space="0" w:color="auto"/>
        <w:right w:val="none" w:sz="0" w:space="0" w:color="auto"/>
      </w:divBdr>
    </w:div>
    <w:div w:id="156851383">
      <w:bodyDiv w:val="1"/>
      <w:marLeft w:val="0"/>
      <w:marRight w:val="0"/>
      <w:marTop w:val="0"/>
      <w:marBottom w:val="0"/>
      <w:divBdr>
        <w:top w:val="none" w:sz="0" w:space="0" w:color="auto"/>
        <w:left w:val="none" w:sz="0" w:space="0" w:color="auto"/>
        <w:bottom w:val="none" w:sz="0" w:space="0" w:color="auto"/>
        <w:right w:val="none" w:sz="0" w:space="0" w:color="auto"/>
      </w:divBdr>
    </w:div>
    <w:div w:id="175770560">
      <w:bodyDiv w:val="1"/>
      <w:marLeft w:val="0"/>
      <w:marRight w:val="0"/>
      <w:marTop w:val="0"/>
      <w:marBottom w:val="0"/>
      <w:divBdr>
        <w:top w:val="none" w:sz="0" w:space="0" w:color="auto"/>
        <w:left w:val="none" w:sz="0" w:space="0" w:color="auto"/>
        <w:bottom w:val="none" w:sz="0" w:space="0" w:color="auto"/>
        <w:right w:val="none" w:sz="0" w:space="0" w:color="auto"/>
      </w:divBdr>
    </w:div>
    <w:div w:id="200244630">
      <w:bodyDiv w:val="1"/>
      <w:marLeft w:val="0"/>
      <w:marRight w:val="0"/>
      <w:marTop w:val="0"/>
      <w:marBottom w:val="0"/>
      <w:divBdr>
        <w:top w:val="none" w:sz="0" w:space="0" w:color="auto"/>
        <w:left w:val="none" w:sz="0" w:space="0" w:color="auto"/>
        <w:bottom w:val="none" w:sz="0" w:space="0" w:color="auto"/>
        <w:right w:val="none" w:sz="0" w:space="0" w:color="auto"/>
      </w:divBdr>
    </w:div>
    <w:div w:id="215707571">
      <w:bodyDiv w:val="1"/>
      <w:marLeft w:val="0"/>
      <w:marRight w:val="0"/>
      <w:marTop w:val="0"/>
      <w:marBottom w:val="0"/>
      <w:divBdr>
        <w:top w:val="none" w:sz="0" w:space="0" w:color="auto"/>
        <w:left w:val="none" w:sz="0" w:space="0" w:color="auto"/>
        <w:bottom w:val="none" w:sz="0" w:space="0" w:color="auto"/>
        <w:right w:val="none" w:sz="0" w:space="0" w:color="auto"/>
      </w:divBdr>
    </w:div>
    <w:div w:id="247076663">
      <w:bodyDiv w:val="1"/>
      <w:marLeft w:val="0"/>
      <w:marRight w:val="0"/>
      <w:marTop w:val="0"/>
      <w:marBottom w:val="0"/>
      <w:divBdr>
        <w:top w:val="none" w:sz="0" w:space="0" w:color="auto"/>
        <w:left w:val="none" w:sz="0" w:space="0" w:color="auto"/>
        <w:bottom w:val="none" w:sz="0" w:space="0" w:color="auto"/>
        <w:right w:val="none" w:sz="0" w:space="0" w:color="auto"/>
      </w:divBdr>
    </w:div>
    <w:div w:id="260839097">
      <w:bodyDiv w:val="1"/>
      <w:marLeft w:val="0"/>
      <w:marRight w:val="0"/>
      <w:marTop w:val="0"/>
      <w:marBottom w:val="0"/>
      <w:divBdr>
        <w:top w:val="none" w:sz="0" w:space="0" w:color="auto"/>
        <w:left w:val="none" w:sz="0" w:space="0" w:color="auto"/>
        <w:bottom w:val="none" w:sz="0" w:space="0" w:color="auto"/>
        <w:right w:val="none" w:sz="0" w:space="0" w:color="auto"/>
      </w:divBdr>
    </w:div>
    <w:div w:id="294679737">
      <w:bodyDiv w:val="1"/>
      <w:marLeft w:val="0"/>
      <w:marRight w:val="0"/>
      <w:marTop w:val="0"/>
      <w:marBottom w:val="0"/>
      <w:divBdr>
        <w:top w:val="none" w:sz="0" w:space="0" w:color="auto"/>
        <w:left w:val="none" w:sz="0" w:space="0" w:color="auto"/>
        <w:bottom w:val="none" w:sz="0" w:space="0" w:color="auto"/>
        <w:right w:val="none" w:sz="0" w:space="0" w:color="auto"/>
      </w:divBdr>
    </w:div>
    <w:div w:id="349651075">
      <w:bodyDiv w:val="1"/>
      <w:marLeft w:val="0"/>
      <w:marRight w:val="0"/>
      <w:marTop w:val="0"/>
      <w:marBottom w:val="0"/>
      <w:divBdr>
        <w:top w:val="none" w:sz="0" w:space="0" w:color="auto"/>
        <w:left w:val="none" w:sz="0" w:space="0" w:color="auto"/>
        <w:bottom w:val="none" w:sz="0" w:space="0" w:color="auto"/>
        <w:right w:val="none" w:sz="0" w:space="0" w:color="auto"/>
      </w:divBdr>
    </w:div>
    <w:div w:id="360404284">
      <w:bodyDiv w:val="1"/>
      <w:marLeft w:val="0"/>
      <w:marRight w:val="0"/>
      <w:marTop w:val="0"/>
      <w:marBottom w:val="0"/>
      <w:divBdr>
        <w:top w:val="none" w:sz="0" w:space="0" w:color="auto"/>
        <w:left w:val="none" w:sz="0" w:space="0" w:color="auto"/>
        <w:bottom w:val="none" w:sz="0" w:space="0" w:color="auto"/>
        <w:right w:val="none" w:sz="0" w:space="0" w:color="auto"/>
      </w:divBdr>
    </w:div>
    <w:div w:id="431903956">
      <w:bodyDiv w:val="1"/>
      <w:marLeft w:val="0"/>
      <w:marRight w:val="0"/>
      <w:marTop w:val="0"/>
      <w:marBottom w:val="0"/>
      <w:divBdr>
        <w:top w:val="none" w:sz="0" w:space="0" w:color="auto"/>
        <w:left w:val="none" w:sz="0" w:space="0" w:color="auto"/>
        <w:bottom w:val="none" w:sz="0" w:space="0" w:color="auto"/>
        <w:right w:val="none" w:sz="0" w:space="0" w:color="auto"/>
      </w:divBdr>
    </w:div>
    <w:div w:id="484130965">
      <w:bodyDiv w:val="1"/>
      <w:marLeft w:val="0"/>
      <w:marRight w:val="0"/>
      <w:marTop w:val="0"/>
      <w:marBottom w:val="0"/>
      <w:divBdr>
        <w:top w:val="none" w:sz="0" w:space="0" w:color="auto"/>
        <w:left w:val="none" w:sz="0" w:space="0" w:color="auto"/>
        <w:bottom w:val="none" w:sz="0" w:space="0" w:color="auto"/>
        <w:right w:val="none" w:sz="0" w:space="0" w:color="auto"/>
      </w:divBdr>
    </w:div>
    <w:div w:id="509369391">
      <w:bodyDiv w:val="1"/>
      <w:marLeft w:val="0"/>
      <w:marRight w:val="0"/>
      <w:marTop w:val="0"/>
      <w:marBottom w:val="0"/>
      <w:divBdr>
        <w:top w:val="none" w:sz="0" w:space="0" w:color="auto"/>
        <w:left w:val="none" w:sz="0" w:space="0" w:color="auto"/>
        <w:bottom w:val="none" w:sz="0" w:space="0" w:color="auto"/>
        <w:right w:val="none" w:sz="0" w:space="0" w:color="auto"/>
      </w:divBdr>
    </w:div>
    <w:div w:id="714699197">
      <w:bodyDiv w:val="1"/>
      <w:marLeft w:val="0"/>
      <w:marRight w:val="0"/>
      <w:marTop w:val="0"/>
      <w:marBottom w:val="0"/>
      <w:divBdr>
        <w:top w:val="none" w:sz="0" w:space="0" w:color="auto"/>
        <w:left w:val="none" w:sz="0" w:space="0" w:color="auto"/>
        <w:bottom w:val="none" w:sz="0" w:space="0" w:color="auto"/>
        <w:right w:val="none" w:sz="0" w:space="0" w:color="auto"/>
      </w:divBdr>
    </w:div>
    <w:div w:id="723454137">
      <w:bodyDiv w:val="1"/>
      <w:marLeft w:val="0"/>
      <w:marRight w:val="0"/>
      <w:marTop w:val="0"/>
      <w:marBottom w:val="0"/>
      <w:divBdr>
        <w:top w:val="none" w:sz="0" w:space="0" w:color="auto"/>
        <w:left w:val="none" w:sz="0" w:space="0" w:color="auto"/>
        <w:bottom w:val="none" w:sz="0" w:space="0" w:color="auto"/>
        <w:right w:val="none" w:sz="0" w:space="0" w:color="auto"/>
      </w:divBdr>
    </w:div>
    <w:div w:id="780876664">
      <w:bodyDiv w:val="1"/>
      <w:marLeft w:val="0"/>
      <w:marRight w:val="0"/>
      <w:marTop w:val="0"/>
      <w:marBottom w:val="0"/>
      <w:divBdr>
        <w:top w:val="none" w:sz="0" w:space="0" w:color="auto"/>
        <w:left w:val="none" w:sz="0" w:space="0" w:color="auto"/>
        <w:bottom w:val="none" w:sz="0" w:space="0" w:color="auto"/>
        <w:right w:val="none" w:sz="0" w:space="0" w:color="auto"/>
      </w:divBdr>
    </w:div>
    <w:div w:id="814638650">
      <w:bodyDiv w:val="1"/>
      <w:marLeft w:val="0"/>
      <w:marRight w:val="0"/>
      <w:marTop w:val="0"/>
      <w:marBottom w:val="0"/>
      <w:divBdr>
        <w:top w:val="none" w:sz="0" w:space="0" w:color="auto"/>
        <w:left w:val="none" w:sz="0" w:space="0" w:color="auto"/>
        <w:bottom w:val="none" w:sz="0" w:space="0" w:color="auto"/>
        <w:right w:val="none" w:sz="0" w:space="0" w:color="auto"/>
      </w:divBdr>
    </w:div>
    <w:div w:id="826943288">
      <w:bodyDiv w:val="1"/>
      <w:marLeft w:val="0"/>
      <w:marRight w:val="0"/>
      <w:marTop w:val="0"/>
      <w:marBottom w:val="0"/>
      <w:divBdr>
        <w:top w:val="none" w:sz="0" w:space="0" w:color="auto"/>
        <w:left w:val="none" w:sz="0" w:space="0" w:color="auto"/>
        <w:bottom w:val="none" w:sz="0" w:space="0" w:color="auto"/>
        <w:right w:val="none" w:sz="0" w:space="0" w:color="auto"/>
      </w:divBdr>
    </w:div>
    <w:div w:id="832524242">
      <w:bodyDiv w:val="1"/>
      <w:marLeft w:val="0"/>
      <w:marRight w:val="0"/>
      <w:marTop w:val="0"/>
      <w:marBottom w:val="0"/>
      <w:divBdr>
        <w:top w:val="none" w:sz="0" w:space="0" w:color="auto"/>
        <w:left w:val="none" w:sz="0" w:space="0" w:color="auto"/>
        <w:bottom w:val="none" w:sz="0" w:space="0" w:color="auto"/>
        <w:right w:val="none" w:sz="0" w:space="0" w:color="auto"/>
      </w:divBdr>
    </w:div>
    <w:div w:id="852302823">
      <w:bodyDiv w:val="1"/>
      <w:marLeft w:val="0"/>
      <w:marRight w:val="0"/>
      <w:marTop w:val="0"/>
      <w:marBottom w:val="0"/>
      <w:divBdr>
        <w:top w:val="none" w:sz="0" w:space="0" w:color="auto"/>
        <w:left w:val="none" w:sz="0" w:space="0" w:color="auto"/>
        <w:bottom w:val="none" w:sz="0" w:space="0" w:color="auto"/>
        <w:right w:val="none" w:sz="0" w:space="0" w:color="auto"/>
      </w:divBdr>
      <w:divsChild>
        <w:div w:id="1981419172">
          <w:marLeft w:val="0"/>
          <w:marRight w:val="0"/>
          <w:marTop w:val="0"/>
          <w:marBottom w:val="0"/>
          <w:divBdr>
            <w:top w:val="none" w:sz="0" w:space="0" w:color="auto"/>
            <w:left w:val="none" w:sz="0" w:space="0" w:color="auto"/>
            <w:bottom w:val="none" w:sz="0" w:space="0" w:color="auto"/>
            <w:right w:val="none" w:sz="0" w:space="0" w:color="auto"/>
          </w:divBdr>
          <w:divsChild>
            <w:div w:id="592781494">
              <w:marLeft w:val="0"/>
              <w:marRight w:val="0"/>
              <w:marTop w:val="0"/>
              <w:marBottom w:val="0"/>
              <w:divBdr>
                <w:top w:val="none" w:sz="0" w:space="0" w:color="auto"/>
                <w:left w:val="none" w:sz="0" w:space="0" w:color="auto"/>
                <w:bottom w:val="none" w:sz="0" w:space="0" w:color="auto"/>
                <w:right w:val="none" w:sz="0" w:space="0" w:color="auto"/>
              </w:divBdr>
            </w:div>
          </w:divsChild>
        </w:div>
        <w:div w:id="631133667">
          <w:marLeft w:val="0"/>
          <w:marRight w:val="0"/>
          <w:marTop w:val="0"/>
          <w:marBottom w:val="0"/>
          <w:divBdr>
            <w:top w:val="none" w:sz="0" w:space="0" w:color="auto"/>
            <w:left w:val="none" w:sz="0" w:space="0" w:color="auto"/>
            <w:bottom w:val="none" w:sz="0" w:space="0" w:color="auto"/>
            <w:right w:val="none" w:sz="0" w:space="0" w:color="auto"/>
          </w:divBdr>
        </w:div>
        <w:div w:id="168180975">
          <w:marLeft w:val="0"/>
          <w:marRight w:val="0"/>
          <w:marTop w:val="0"/>
          <w:marBottom w:val="0"/>
          <w:divBdr>
            <w:top w:val="none" w:sz="0" w:space="0" w:color="auto"/>
            <w:left w:val="none" w:sz="0" w:space="0" w:color="auto"/>
            <w:bottom w:val="none" w:sz="0" w:space="0" w:color="auto"/>
            <w:right w:val="none" w:sz="0" w:space="0" w:color="auto"/>
          </w:divBdr>
          <w:divsChild>
            <w:div w:id="337003136">
              <w:marLeft w:val="0"/>
              <w:marRight w:val="0"/>
              <w:marTop w:val="0"/>
              <w:marBottom w:val="0"/>
              <w:divBdr>
                <w:top w:val="none" w:sz="0" w:space="0" w:color="auto"/>
                <w:left w:val="none" w:sz="0" w:space="0" w:color="auto"/>
                <w:bottom w:val="none" w:sz="0" w:space="0" w:color="auto"/>
                <w:right w:val="none" w:sz="0" w:space="0" w:color="auto"/>
              </w:divBdr>
            </w:div>
            <w:div w:id="857232076">
              <w:marLeft w:val="0"/>
              <w:marRight w:val="0"/>
              <w:marTop w:val="0"/>
              <w:marBottom w:val="0"/>
              <w:divBdr>
                <w:top w:val="none" w:sz="0" w:space="0" w:color="auto"/>
                <w:left w:val="none" w:sz="0" w:space="0" w:color="auto"/>
                <w:bottom w:val="none" w:sz="0" w:space="0" w:color="auto"/>
                <w:right w:val="none" w:sz="0" w:space="0" w:color="auto"/>
              </w:divBdr>
            </w:div>
            <w:div w:id="20957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043548">
      <w:bodyDiv w:val="1"/>
      <w:marLeft w:val="0"/>
      <w:marRight w:val="0"/>
      <w:marTop w:val="0"/>
      <w:marBottom w:val="0"/>
      <w:divBdr>
        <w:top w:val="none" w:sz="0" w:space="0" w:color="auto"/>
        <w:left w:val="none" w:sz="0" w:space="0" w:color="auto"/>
        <w:bottom w:val="none" w:sz="0" w:space="0" w:color="auto"/>
        <w:right w:val="none" w:sz="0" w:space="0" w:color="auto"/>
      </w:divBdr>
    </w:div>
    <w:div w:id="913660339">
      <w:bodyDiv w:val="1"/>
      <w:marLeft w:val="0"/>
      <w:marRight w:val="0"/>
      <w:marTop w:val="0"/>
      <w:marBottom w:val="0"/>
      <w:divBdr>
        <w:top w:val="none" w:sz="0" w:space="0" w:color="auto"/>
        <w:left w:val="none" w:sz="0" w:space="0" w:color="auto"/>
        <w:bottom w:val="none" w:sz="0" w:space="0" w:color="auto"/>
        <w:right w:val="none" w:sz="0" w:space="0" w:color="auto"/>
      </w:divBdr>
    </w:div>
    <w:div w:id="917134356">
      <w:bodyDiv w:val="1"/>
      <w:marLeft w:val="0"/>
      <w:marRight w:val="0"/>
      <w:marTop w:val="0"/>
      <w:marBottom w:val="0"/>
      <w:divBdr>
        <w:top w:val="none" w:sz="0" w:space="0" w:color="auto"/>
        <w:left w:val="none" w:sz="0" w:space="0" w:color="auto"/>
        <w:bottom w:val="none" w:sz="0" w:space="0" w:color="auto"/>
        <w:right w:val="none" w:sz="0" w:space="0" w:color="auto"/>
      </w:divBdr>
    </w:div>
    <w:div w:id="957103638">
      <w:bodyDiv w:val="1"/>
      <w:marLeft w:val="0"/>
      <w:marRight w:val="0"/>
      <w:marTop w:val="0"/>
      <w:marBottom w:val="0"/>
      <w:divBdr>
        <w:top w:val="none" w:sz="0" w:space="0" w:color="auto"/>
        <w:left w:val="none" w:sz="0" w:space="0" w:color="auto"/>
        <w:bottom w:val="none" w:sz="0" w:space="0" w:color="auto"/>
        <w:right w:val="none" w:sz="0" w:space="0" w:color="auto"/>
      </w:divBdr>
    </w:div>
    <w:div w:id="969895301">
      <w:bodyDiv w:val="1"/>
      <w:marLeft w:val="0"/>
      <w:marRight w:val="0"/>
      <w:marTop w:val="0"/>
      <w:marBottom w:val="0"/>
      <w:divBdr>
        <w:top w:val="none" w:sz="0" w:space="0" w:color="auto"/>
        <w:left w:val="none" w:sz="0" w:space="0" w:color="auto"/>
        <w:bottom w:val="none" w:sz="0" w:space="0" w:color="auto"/>
        <w:right w:val="none" w:sz="0" w:space="0" w:color="auto"/>
      </w:divBdr>
    </w:div>
    <w:div w:id="1049187705">
      <w:bodyDiv w:val="1"/>
      <w:marLeft w:val="0"/>
      <w:marRight w:val="0"/>
      <w:marTop w:val="0"/>
      <w:marBottom w:val="0"/>
      <w:divBdr>
        <w:top w:val="none" w:sz="0" w:space="0" w:color="auto"/>
        <w:left w:val="none" w:sz="0" w:space="0" w:color="auto"/>
        <w:bottom w:val="none" w:sz="0" w:space="0" w:color="auto"/>
        <w:right w:val="none" w:sz="0" w:space="0" w:color="auto"/>
      </w:divBdr>
    </w:div>
    <w:div w:id="1061362837">
      <w:bodyDiv w:val="1"/>
      <w:marLeft w:val="0"/>
      <w:marRight w:val="0"/>
      <w:marTop w:val="0"/>
      <w:marBottom w:val="0"/>
      <w:divBdr>
        <w:top w:val="none" w:sz="0" w:space="0" w:color="auto"/>
        <w:left w:val="none" w:sz="0" w:space="0" w:color="auto"/>
        <w:bottom w:val="none" w:sz="0" w:space="0" w:color="auto"/>
        <w:right w:val="none" w:sz="0" w:space="0" w:color="auto"/>
      </w:divBdr>
    </w:div>
    <w:div w:id="1091126226">
      <w:bodyDiv w:val="1"/>
      <w:marLeft w:val="0"/>
      <w:marRight w:val="0"/>
      <w:marTop w:val="0"/>
      <w:marBottom w:val="0"/>
      <w:divBdr>
        <w:top w:val="none" w:sz="0" w:space="0" w:color="auto"/>
        <w:left w:val="none" w:sz="0" w:space="0" w:color="auto"/>
        <w:bottom w:val="none" w:sz="0" w:space="0" w:color="auto"/>
        <w:right w:val="none" w:sz="0" w:space="0" w:color="auto"/>
      </w:divBdr>
    </w:div>
    <w:div w:id="1143354726">
      <w:bodyDiv w:val="1"/>
      <w:marLeft w:val="0"/>
      <w:marRight w:val="0"/>
      <w:marTop w:val="0"/>
      <w:marBottom w:val="0"/>
      <w:divBdr>
        <w:top w:val="none" w:sz="0" w:space="0" w:color="auto"/>
        <w:left w:val="none" w:sz="0" w:space="0" w:color="auto"/>
        <w:bottom w:val="none" w:sz="0" w:space="0" w:color="auto"/>
        <w:right w:val="none" w:sz="0" w:space="0" w:color="auto"/>
      </w:divBdr>
    </w:div>
    <w:div w:id="1161001336">
      <w:bodyDiv w:val="1"/>
      <w:marLeft w:val="0"/>
      <w:marRight w:val="0"/>
      <w:marTop w:val="0"/>
      <w:marBottom w:val="0"/>
      <w:divBdr>
        <w:top w:val="none" w:sz="0" w:space="0" w:color="auto"/>
        <w:left w:val="none" w:sz="0" w:space="0" w:color="auto"/>
        <w:bottom w:val="none" w:sz="0" w:space="0" w:color="auto"/>
        <w:right w:val="none" w:sz="0" w:space="0" w:color="auto"/>
      </w:divBdr>
    </w:div>
    <w:div w:id="1180509615">
      <w:bodyDiv w:val="1"/>
      <w:marLeft w:val="0"/>
      <w:marRight w:val="0"/>
      <w:marTop w:val="0"/>
      <w:marBottom w:val="0"/>
      <w:divBdr>
        <w:top w:val="none" w:sz="0" w:space="0" w:color="auto"/>
        <w:left w:val="none" w:sz="0" w:space="0" w:color="auto"/>
        <w:bottom w:val="none" w:sz="0" w:space="0" w:color="auto"/>
        <w:right w:val="none" w:sz="0" w:space="0" w:color="auto"/>
      </w:divBdr>
    </w:div>
    <w:div w:id="1181352997">
      <w:bodyDiv w:val="1"/>
      <w:marLeft w:val="0"/>
      <w:marRight w:val="0"/>
      <w:marTop w:val="0"/>
      <w:marBottom w:val="0"/>
      <w:divBdr>
        <w:top w:val="none" w:sz="0" w:space="0" w:color="auto"/>
        <w:left w:val="none" w:sz="0" w:space="0" w:color="auto"/>
        <w:bottom w:val="none" w:sz="0" w:space="0" w:color="auto"/>
        <w:right w:val="none" w:sz="0" w:space="0" w:color="auto"/>
      </w:divBdr>
    </w:div>
    <w:div w:id="1236476987">
      <w:bodyDiv w:val="1"/>
      <w:marLeft w:val="0"/>
      <w:marRight w:val="0"/>
      <w:marTop w:val="0"/>
      <w:marBottom w:val="0"/>
      <w:divBdr>
        <w:top w:val="none" w:sz="0" w:space="0" w:color="auto"/>
        <w:left w:val="none" w:sz="0" w:space="0" w:color="auto"/>
        <w:bottom w:val="none" w:sz="0" w:space="0" w:color="auto"/>
        <w:right w:val="none" w:sz="0" w:space="0" w:color="auto"/>
      </w:divBdr>
    </w:div>
    <w:div w:id="1402406639">
      <w:bodyDiv w:val="1"/>
      <w:marLeft w:val="0"/>
      <w:marRight w:val="0"/>
      <w:marTop w:val="0"/>
      <w:marBottom w:val="0"/>
      <w:divBdr>
        <w:top w:val="none" w:sz="0" w:space="0" w:color="auto"/>
        <w:left w:val="none" w:sz="0" w:space="0" w:color="auto"/>
        <w:bottom w:val="none" w:sz="0" w:space="0" w:color="auto"/>
        <w:right w:val="none" w:sz="0" w:space="0" w:color="auto"/>
      </w:divBdr>
    </w:div>
    <w:div w:id="1485006539">
      <w:bodyDiv w:val="1"/>
      <w:marLeft w:val="0"/>
      <w:marRight w:val="0"/>
      <w:marTop w:val="0"/>
      <w:marBottom w:val="0"/>
      <w:divBdr>
        <w:top w:val="none" w:sz="0" w:space="0" w:color="auto"/>
        <w:left w:val="none" w:sz="0" w:space="0" w:color="auto"/>
        <w:bottom w:val="none" w:sz="0" w:space="0" w:color="auto"/>
        <w:right w:val="none" w:sz="0" w:space="0" w:color="auto"/>
      </w:divBdr>
    </w:div>
    <w:div w:id="1503426521">
      <w:bodyDiv w:val="1"/>
      <w:marLeft w:val="0"/>
      <w:marRight w:val="0"/>
      <w:marTop w:val="0"/>
      <w:marBottom w:val="0"/>
      <w:divBdr>
        <w:top w:val="none" w:sz="0" w:space="0" w:color="auto"/>
        <w:left w:val="none" w:sz="0" w:space="0" w:color="auto"/>
        <w:bottom w:val="none" w:sz="0" w:space="0" w:color="auto"/>
        <w:right w:val="none" w:sz="0" w:space="0" w:color="auto"/>
      </w:divBdr>
    </w:div>
    <w:div w:id="1506628658">
      <w:bodyDiv w:val="1"/>
      <w:marLeft w:val="0"/>
      <w:marRight w:val="0"/>
      <w:marTop w:val="0"/>
      <w:marBottom w:val="0"/>
      <w:divBdr>
        <w:top w:val="none" w:sz="0" w:space="0" w:color="auto"/>
        <w:left w:val="none" w:sz="0" w:space="0" w:color="auto"/>
        <w:bottom w:val="none" w:sz="0" w:space="0" w:color="auto"/>
        <w:right w:val="none" w:sz="0" w:space="0" w:color="auto"/>
      </w:divBdr>
    </w:div>
    <w:div w:id="1531525767">
      <w:bodyDiv w:val="1"/>
      <w:marLeft w:val="0"/>
      <w:marRight w:val="0"/>
      <w:marTop w:val="0"/>
      <w:marBottom w:val="0"/>
      <w:divBdr>
        <w:top w:val="none" w:sz="0" w:space="0" w:color="auto"/>
        <w:left w:val="none" w:sz="0" w:space="0" w:color="auto"/>
        <w:bottom w:val="none" w:sz="0" w:space="0" w:color="auto"/>
        <w:right w:val="none" w:sz="0" w:space="0" w:color="auto"/>
      </w:divBdr>
    </w:div>
    <w:div w:id="1565095652">
      <w:bodyDiv w:val="1"/>
      <w:marLeft w:val="0"/>
      <w:marRight w:val="0"/>
      <w:marTop w:val="0"/>
      <w:marBottom w:val="0"/>
      <w:divBdr>
        <w:top w:val="none" w:sz="0" w:space="0" w:color="auto"/>
        <w:left w:val="none" w:sz="0" w:space="0" w:color="auto"/>
        <w:bottom w:val="none" w:sz="0" w:space="0" w:color="auto"/>
        <w:right w:val="none" w:sz="0" w:space="0" w:color="auto"/>
      </w:divBdr>
    </w:div>
    <w:div w:id="1634214559">
      <w:bodyDiv w:val="1"/>
      <w:marLeft w:val="0"/>
      <w:marRight w:val="0"/>
      <w:marTop w:val="0"/>
      <w:marBottom w:val="0"/>
      <w:divBdr>
        <w:top w:val="none" w:sz="0" w:space="0" w:color="auto"/>
        <w:left w:val="none" w:sz="0" w:space="0" w:color="auto"/>
        <w:bottom w:val="none" w:sz="0" w:space="0" w:color="auto"/>
        <w:right w:val="none" w:sz="0" w:space="0" w:color="auto"/>
      </w:divBdr>
    </w:div>
    <w:div w:id="1665861782">
      <w:bodyDiv w:val="1"/>
      <w:marLeft w:val="0"/>
      <w:marRight w:val="0"/>
      <w:marTop w:val="0"/>
      <w:marBottom w:val="0"/>
      <w:divBdr>
        <w:top w:val="none" w:sz="0" w:space="0" w:color="auto"/>
        <w:left w:val="none" w:sz="0" w:space="0" w:color="auto"/>
        <w:bottom w:val="none" w:sz="0" w:space="0" w:color="auto"/>
        <w:right w:val="none" w:sz="0" w:space="0" w:color="auto"/>
      </w:divBdr>
    </w:div>
    <w:div w:id="1716004846">
      <w:bodyDiv w:val="1"/>
      <w:marLeft w:val="0"/>
      <w:marRight w:val="0"/>
      <w:marTop w:val="0"/>
      <w:marBottom w:val="0"/>
      <w:divBdr>
        <w:top w:val="none" w:sz="0" w:space="0" w:color="auto"/>
        <w:left w:val="none" w:sz="0" w:space="0" w:color="auto"/>
        <w:bottom w:val="none" w:sz="0" w:space="0" w:color="auto"/>
        <w:right w:val="none" w:sz="0" w:space="0" w:color="auto"/>
      </w:divBdr>
    </w:div>
    <w:div w:id="1760104487">
      <w:bodyDiv w:val="1"/>
      <w:marLeft w:val="0"/>
      <w:marRight w:val="0"/>
      <w:marTop w:val="0"/>
      <w:marBottom w:val="0"/>
      <w:divBdr>
        <w:top w:val="none" w:sz="0" w:space="0" w:color="auto"/>
        <w:left w:val="none" w:sz="0" w:space="0" w:color="auto"/>
        <w:bottom w:val="none" w:sz="0" w:space="0" w:color="auto"/>
        <w:right w:val="none" w:sz="0" w:space="0" w:color="auto"/>
      </w:divBdr>
    </w:div>
    <w:div w:id="1772433585">
      <w:bodyDiv w:val="1"/>
      <w:marLeft w:val="0"/>
      <w:marRight w:val="0"/>
      <w:marTop w:val="0"/>
      <w:marBottom w:val="0"/>
      <w:divBdr>
        <w:top w:val="none" w:sz="0" w:space="0" w:color="auto"/>
        <w:left w:val="none" w:sz="0" w:space="0" w:color="auto"/>
        <w:bottom w:val="none" w:sz="0" w:space="0" w:color="auto"/>
        <w:right w:val="none" w:sz="0" w:space="0" w:color="auto"/>
      </w:divBdr>
    </w:div>
    <w:div w:id="1782457212">
      <w:bodyDiv w:val="1"/>
      <w:marLeft w:val="0"/>
      <w:marRight w:val="0"/>
      <w:marTop w:val="0"/>
      <w:marBottom w:val="0"/>
      <w:divBdr>
        <w:top w:val="none" w:sz="0" w:space="0" w:color="auto"/>
        <w:left w:val="none" w:sz="0" w:space="0" w:color="auto"/>
        <w:bottom w:val="none" w:sz="0" w:space="0" w:color="auto"/>
        <w:right w:val="none" w:sz="0" w:space="0" w:color="auto"/>
      </w:divBdr>
    </w:div>
    <w:div w:id="1800610656">
      <w:bodyDiv w:val="1"/>
      <w:marLeft w:val="0"/>
      <w:marRight w:val="0"/>
      <w:marTop w:val="0"/>
      <w:marBottom w:val="0"/>
      <w:divBdr>
        <w:top w:val="none" w:sz="0" w:space="0" w:color="auto"/>
        <w:left w:val="none" w:sz="0" w:space="0" w:color="auto"/>
        <w:bottom w:val="none" w:sz="0" w:space="0" w:color="auto"/>
        <w:right w:val="none" w:sz="0" w:space="0" w:color="auto"/>
      </w:divBdr>
    </w:div>
    <w:div w:id="1855921753">
      <w:bodyDiv w:val="1"/>
      <w:marLeft w:val="0"/>
      <w:marRight w:val="0"/>
      <w:marTop w:val="0"/>
      <w:marBottom w:val="0"/>
      <w:divBdr>
        <w:top w:val="none" w:sz="0" w:space="0" w:color="auto"/>
        <w:left w:val="none" w:sz="0" w:space="0" w:color="auto"/>
        <w:bottom w:val="none" w:sz="0" w:space="0" w:color="auto"/>
        <w:right w:val="none" w:sz="0" w:space="0" w:color="auto"/>
      </w:divBdr>
    </w:div>
    <w:div w:id="1860509577">
      <w:bodyDiv w:val="1"/>
      <w:marLeft w:val="0"/>
      <w:marRight w:val="0"/>
      <w:marTop w:val="0"/>
      <w:marBottom w:val="0"/>
      <w:divBdr>
        <w:top w:val="none" w:sz="0" w:space="0" w:color="auto"/>
        <w:left w:val="none" w:sz="0" w:space="0" w:color="auto"/>
        <w:bottom w:val="none" w:sz="0" w:space="0" w:color="auto"/>
        <w:right w:val="none" w:sz="0" w:space="0" w:color="auto"/>
      </w:divBdr>
    </w:div>
    <w:div w:id="1891191460">
      <w:bodyDiv w:val="1"/>
      <w:marLeft w:val="0"/>
      <w:marRight w:val="0"/>
      <w:marTop w:val="0"/>
      <w:marBottom w:val="0"/>
      <w:divBdr>
        <w:top w:val="none" w:sz="0" w:space="0" w:color="auto"/>
        <w:left w:val="none" w:sz="0" w:space="0" w:color="auto"/>
        <w:bottom w:val="none" w:sz="0" w:space="0" w:color="auto"/>
        <w:right w:val="none" w:sz="0" w:space="0" w:color="auto"/>
      </w:divBdr>
    </w:div>
    <w:div w:id="1964191979">
      <w:bodyDiv w:val="1"/>
      <w:marLeft w:val="0"/>
      <w:marRight w:val="0"/>
      <w:marTop w:val="0"/>
      <w:marBottom w:val="0"/>
      <w:divBdr>
        <w:top w:val="none" w:sz="0" w:space="0" w:color="auto"/>
        <w:left w:val="none" w:sz="0" w:space="0" w:color="auto"/>
        <w:bottom w:val="none" w:sz="0" w:space="0" w:color="auto"/>
        <w:right w:val="none" w:sz="0" w:space="0" w:color="auto"/>
      </w:divBdr>
    </w:div>
    <w:div w:id="2107269331">
      <w:bodyDiv w:val="1"/>
      <w:marLeft w:val="0"/>
      <w:marRight w:val="0"/>
      <w:marTop w:val="0"/>
      <w:marBottom w:val="0"/>
      <w:divBdr>
        <w:top w:val="none" w:sz="0" w:space="0" w:color="auto"/>
        <w:left w:val="none" w:sz="0" w:space="0" w:color="auto"/>
        <w:bottom w:val="none" w:sz="0" w:space="0" w:color="auto"/>
        <w:right w:val="none" w:sz="0" w:space="0" w:color="auto"/>
      </w:divBdr>
    </w:div>
    <w:div w:id="212573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E1831-257D-4375-8A17-5089E9CF0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15</Pages>
  <Words>6500</Words>
  <Characters>37053</Characters>
  <Application>Microsoft Office Word</Application>
  <DocSecurity>0</DocSecurity>
  <Lines>308</Lines>
  <Paragraphs>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Fijala" &lt;fijala@sfzg.hr&gt;</dc:creator>
  <cp:keywords/>
  <dc:description/>
  <cp:lastModifiedBy>afijala</cp:lastModifiedBy>
  <cp:revision>23</cp:revision>
  <cp:lastPrinted>2022-10-03T10:13:00Z</cp:lastPrinted>
  <dcterms:created xsi:type="dcterms:W3CDTF">2025-10-24T07:36:00Z</dcterms:created>
  <dcterms:modified xsi:type="dcterms:W3CDTF">2025-12-22T13:32:00Z</dcterms:modified>
</cp:coreProperties>
</file>